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恒源1年定开34期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恒源1年定开34期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12</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22</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5"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856"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3839"/>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93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恒源1年定开34期</w:t>
                  </w:r>
                  <w:r>
                    <w:rPr>
                      <w:rFonts w:hint="eastAsia" w:ascii="楷体" w:hAnsi="楷体" w:eastAsia="楷体" w:cs="宋体"/>
                      <w:spacing w:val="-2"/>
                      <w:sz w:val="18"/>
                      <w:szCs w:val="18"/>
                      <w:highlight w:val="none"/>
                      <w:lang w:val="en-US" w:eastAsia="zh-CN"/>
                    </w:rPr>
                    <w:t>C</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J08752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恒源1年定开34期</w:t>
                  </w:r>
                  <w:r>
                    <w:rPr>
                      <w:rFonts w:hint="eastAsia" w:ascii="楷体" w:hAnsi="楷体" w:eastAsia="楷体" w:cs="宋体"/>
                      <w:spacing w:val="-2"/>
                      <w:sz w:val="18"/>
                      <w:szCs w:val="18"/>
                      <w:highlight w:val="none"/>
                      <w:lang w:val="en-US" w:eastAsia="zh-CN"/>
                    </w:rPr>
                    <w:t>P</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J11123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恒源1年定开34期</w:t>
                  </w:r>
                  <w:r>
                    <w:rPr>
                      <w:rFonts w:hint="eastAsia" w:ascii="楷体" w:hAnsi="楷体" w:eastAsia="楷体" w:cs="宋体"/>
                      <w:spacing w:val="-2"/>
                      <w:sz w:val="18"/>
                      <w:szCs w:val="18"/>
                      <w:highlight w:val="none"/>
                      <w:lang w:val="en-US" w:eastAsia="zh-CN"/>
                    </w:rPr>
                    <w:t>T</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恒源1年定开34期</w:t>
                  </w:r>
                  <w:r>
                    <w:rPr>
                      <w:rFonts w:hint="eastAsia" w:ascii="楷体" w:hAnsi="楷体" w:eastAsia="楷体" w:cs="宋体"/>
                      <w:spacing w:val="-2"/>
                      <w:sz w:val="18"/>
                      <w:szCs w:val="18"/>
                      <w:highlight w:val="none"/>
                      <w:lang w:val="en-US" w:eastAsia="zh-CN"/>
                    </w:rPr>
                    <w:t>O（兰州银行开门红专属）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恒源1年定开34期</w:t>
                  </w:r>
                  <w:r>
                    <w:rPr>
                      <w:rFonts w:hint="eastAsia" w:ascii="楷体" w:hAnsi="楷体" w:eastAsia="楷体" w:cs="宋体"/>
                      <w:spacing w:val="-2"/>
                      <w:sz w:val="18"/>
                      <w:szCs w:val="18"/>
                      <w:highlight w:val="none"/>
                      <w:lang w:val="en-US" w:eastAsia="zh-CN"/>
                    </w:rPr>
                    <w:t>（潍坊银行专属）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J11126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苏银理财恒源1年定开34期ZN（自动赎回）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J11127</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5"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4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面向高净值客户和白名单客户销售，具体以销售机构设置为准。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5" w:hRule="atLeast"/>
          <w:jc w:val="center"/>
        </w:trPr>
        <w:tc>
          <w:tcPr>
            <w:tcW w:w="2043"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856"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500,000元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2025年12月23日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kern w:val="0"/>
                <w:sz w:val="21"/>
                <w:szCs w:val="21"/>
                <w:u w:val="single"/>
                <w:lang w:val="en-US" w:eastAsia="zh-CN" w:bidi="ar-SA"/>
              </w:rPr>
            </w:pPr>
            <w:r>
              <w:rPr>
                <w:rFonts w:hint="eastAsia" w:ascii="楷体" w:hAnsi="楷体" w:eastAsia="楷体" w:cs="Times New Roman"/>
                <w:kern w:val="0"/>
                <w:sz w:val="21"/>
                <w:szCs w:val="21"/>
                <w:lang w:val="en-US" w:eastAsia="zh-CN" w:bidi="ar-SA"/>
              </w:rPr>
              <w:t>本产品按投资周期开放申购与赎回，最新投资周期（2025年12月23日-2027年1月7日）开放申购与赎回时间为：</w:t>
            </w:r>
            <w:r>
              <w:rPr>
                <w:rFonts w:hint="eastAsia" w:ascii="楷体" w:hAnsi="楷体" w:eastAsia="楷体" w:cs="Times New Roman"/>
                <w:b/>
                <w:bCs/>
                <w:kern w:val="0"/>
                <w:sz w:val="21"/>
                <w:szCs w:val="21"/>
                <w:lang w:val="en-US" w:eastAsia="zh-CN" w:bidi="ar-SA"/>
              </w:rPr>
              <w:t>2025年12月12日至2025年12月22日</w:t>
            </w:r>
            <w:r>
              <w:rPr>
                <w:rFonts w:hint="eastAsia" w:ascii="楷体" w:hAnsi="楷体" w:eastAsia="楷体" w:cs="Times New Roman"/>
                <w:kern w:val="0"/>
                <w:sz w:val="21"/>
                <w:szCs w:val="21"/>
                <w:lang w:val="en-US" w:eastAsia="zh-CN" w:bidi="ar-SA"/>
              </w:rPr>
              <w:t>（以各销售机构设置的时间为准）。投资者可在此期间提交申购/赎回申请，投资者未赎回的部分自动进入下一个投资周期。</w:t>
            </w:r>
            <w:r>
              <w:rPr>
                <w:rFonts w:hint="eastAsia" w:ascii="楷体" w:hAnsi="楷体" w:eastAsia="楷体" w:cs="Times New Roman"/>
                <w:b/>
                <w:bCs/>
                <w:kern w:val="0"/>
                <w:sz w:val="21"/>
                <w:szCs w:val="21"/>
                <w:lang w:val="en-US" w:eastAsia="zh-CN" w:bidi="ar-SA"/>
              </w:rPr>
              <w:t>(其中ZN份额</w:t>
            </w:r>
            <w:bookmarkStart w:id="0" w:name="_GoBack"/>
            <w:bookmarkEnd w:id="0"/>
            <w:r>
              <w:rPr>
                <w:rFonts w:hint="eastAsia" w:ascii="楷体" w:hAnsi="楷体" w:eastAsia="楷体" w:cs="Times New Roman"/>
                <w:b/>
                <w:bCs/>
                <w:kern w:val="0"/>
                <w:sz w:val="21"/>
                <w:szCs w:val="21"/>
                <w:lang w:val="en-US" w:eastAsia="zh-CN" w:bidi="ar-SA"/>
              </w:rPr>
              <w:t>由系统主动发起赎回申请，投资者无须发起赎回申请。)</w:t>
            </w:r>
            <w:r>
              <w:rPr>
                <w:rFonts w:hint="eastAsia" w:ascii="楷体" w:hAnsi="楷体" w:eastAsia="楷体" w:cs="Times New Roman"/>
                <w:b/>
                <w:bCs/>
                <w:kern w:val="0"/>
                <w:sz w:val="21"/>
                <w:szCs w:val="21"/>
                <w:u w:val="single"/>
                <w:lang w:val="en-US" w:eastAsia="zh-CN" w:bidi="ar-SA"/>
              </w:rPr>
              <w:t>除开放计划外的其他时间，管理人不接受投资者申购、赎回申请。</w:t>
            </w:r>
          </w:p>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D份额个人投资者认购起点50万元，追加金额为1万元的整数倍；机构投资者认购起点3000万元，追加金额为1万元的整数倍。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kern w:val="0"/>
          <w:sz w:val="28"/>
          <w:szCs w:val="28"/>
          <w:lang w:val="en-US" w:eastAsia="zh-CN" w:bidi="ar-SA"/>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调整G份额认购起点/追加金额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1</w:t>
            </w:r>
            <w:r>
              <w:rPr>
                <w:rFonts w:hint="default" w:ascii="楷体" w:hAnsi="楷体" w:eastAsia="楷体"/>
                <w:sz w:val="21"/>
                <w:szCs w:val="21"/>
                <w:lang w:val="en-US" w:eastAsia="zh-CN"/>
              </w:rPr>
              <w:t>元，追加金额为1元的整数倍。</w:t>
            </w:r>
          </w:p>
        </w:tc>
        <w:tc>
          <w:tcPr>
            <w:tcW w:w="290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20万元</w:t>
            </w:r>
            <w:r>
              <w:rPr>
                <w:rFonts w:hint="default" w:ascii="楷体" w:hAnsi="楷体" w:eastAsia="楷体"/>
                <w:sz w:val="21"/>
                <w:szCs w:val="21"/>
                <w:lang w:val="en-US" w:eastAsia="zh-CN"/>
              </w:rPr>
              <w:t>，追加金额为</w:t>
            </w:r>
            <w:r>
              <w:rPr>
                <w:rFonts w:hint="eastAsia" w:ascii="楷体" w:hAnsi="楷体" w:eastAsia="楷体"/>
                <w:sz w:val="21"/>
                <w:szCs w:val="21"/>
                <w:lang w:val="en-US" w:eastAsia="zh-CN"/>
              </w:rPr>
              <w:t>1万</w:t>
            </w:r>
            <w:r>
              <w:rPr>
                <w:rFonts w:hint="default" w:ascii="楷体" w:hAnsi="楷体" w:eastAsia="楷体"/>
                <w:sz w:val="21"/>
                <w:szCs w:val="21"/>
                <w:lang w:val="en-US" w:eastAsia="zh-CN"/>
              </w:rPr>
              <w:t>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sz w:val="28"/>
          <w:szCs w:val="28"/>
          <w:lang w:val="en-US" w:eastAsia="zh-CN"/>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2.73</w:t>
            </w:r>
            <w:r>
              <w:rPr>
                <w:rFonts w:hint="default" w:ascii="楷体" w:hAnsi="楷体" w:eastAsia="楷体" w:cs="楷体"/>
                <w:lang w:val="en-US" w:eastAsia="zh-CN"/>
              </w:rPr>
              <w:t>%-</w:t>
            </w:r>
            <w:r>
              <w:rPr>
                <w:rFonts w:hint="eastAsia" w:ascii="楷体" w:hAnsi="楷体" w:eastAsia="楷体" w:cs="楷体"/>
                <w:lang w:val="en-US" w:eastAsia="zh-CN"/>
              </w:rPr>
              <w:t>3.33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2.75</w:t>
            </w:r>
            <w:r>
              <w:rPr>
                <w:rFonts w:hint="default" w:ascii="楷体" w:hAnsi="楷体" w:eastAsia="楷体" w:cs="楷体"/>
                <w:lang w:val="en-US" w:eastAsia="zh-CN"/>
              </w:rPr>
              <w:t>%-</w:t>
            </w:r>
            <w:r>
              <w:rPr>
                <w:rFonts w:hint="eastAsia" w:ascii="楷体" w:hAnsi="楷体" w:eastAsia="楷体" w:cs="楷体"/>
                <w:lang w:val="en-US" w:eastAsia="zh-CN"/>
              </w:rPr>
              <w:t>3.35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K份额2.60</w:t>
            </w:r>
            <w:r>
              <w:rPr>
                <w:rFonts w:hint="default" w:ascii="楷体" w:hAnsi="楷体" w:eastAsia="楷体" w:cs="楷体"/>
                <w:lang w:val="en-US" w:eastAsia="zh-CN"/>
              </w:rPr>
              <w:t>%-</w:t>
            </w:r>
            <w:r>
              <w:rPr>
                <w:rFonts w:hint="eastAsia" w:ascii="楷体" w:hAnsi="楷体" w:eastAsia="楷体" w:cs="楷体"/>
                <w:lang w:val="en-US" w:eastAsia="zh-CN"/>
              </w:rPr>
              <w:t>3.20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2.35%-2.95%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ZN份额 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若R&lt;业绩比较基准下限+（业绩比较基准上限-业绩比较基准下限）*60%，管理人无超额业绩报酬；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若业绩比较基准下限+（业绩比较基准上限-业绩比较基准下限）*60%≤R&lt;业绩比较基准上限，管理人对超出【业绩比较基准下限+（业绩比较基准上限-业绩比较基准下限）*60%】的部分，收取40%的超额业绩报酬；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60%】与业绩比较基准上限之间的部分，收取40%的超额业绩报酬；管理人对超出业绩比较基准上限的部分，收取60%的超额业绩报酬。</w:t>
            </w:r>
          </w:p>
        </w:tc>
        <w:tc>
          <w:tcPr>
            <w:tcW w:w="3765"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（5）调整说明书的销售费和管理费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ZN份额 0.55%/年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0.40%/年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sz w:val="18"/>
                <w:szCs w:val="18"/>
                <w:lang w:val="en-US"/>
              </w:rPr>
            </w:pPr>
            <w:r>
              <w:rPr>
                <w:rFonts w:hint="eastAsia" w:ascii="楷体" w:hAnsi="楷体" w:eastAsia="楷体" w:cs="楷体"/>
                <w:lang w:val="en-US" w:eastAsia="zh-CN"/>
              </w:rPr>
              <w:t>ZN份额 0.65%/年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23</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12</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22</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12</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2</w:t>
      </w:r>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3D1C4C"/>
    <w:multiLevelType w:val="singleLevel"/>
    <w:tmpl w:val="1F3D1C4C"/>
    <w:lvl w:ilvl="0" w:tentative="0">
      <w:start w:val="2"/>
      <w:numFmt w:val="decimal"/>
      <w:suff w:val="nothing"/>
      <w:lvlText w:val="（%1）"/>
      <w:lvlJc w:val="left"/>
    </w:lvl>
  </w:abstractNum>
  <w:abstractNum w:abstractNumId="1">
    <w:nsid w:val="446EC658"/>
    <w:multiLevelType w:val="singleLevel"/>
    <w:tmpl w:val="446EC658"/>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973E33"/>
    <w:rsid w:val="02A62BE9"/>
    <w:rsid w:val="02CD6006"/>
    <w:rsid w:val="02D16326"/>
    <w:rsid w:val="02E14AB1"/>
    <w:rsid w:val="033A123E"/>
    <w:rsid w:val="034335FA"/>
    <w:rsid w:val="034A2E67"/>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84131A0"/>
    <w:rsid w:val="093B5BA9"/>
    <w:rsid w:val="095F3409"/>
    <w:rsid w:val="097F69FA"/>
    <w:rsid w:val="099D0555"/>
    <w:rsid w:val="09FF588F"/>
    <w:rsid w:val="0A392F7B"/>
    <w:rsid w:val="0A77384F"/>
    <w:rsid w:val="0ACC4A81"/>
    <w:rsid w:val="0B8445B4"/>
    <w:rsid w:val="0B9C374F"/>
    <w:rsid w:val="0BA11BEE"/>
    <w:rsid w:val="0BEC30C9"/>
    <w:rsid w:val="0C48088E"/>
    <w:rsid w:val="0C894AB8"/>
    <w:rsid w:val="0C9123D3"/>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193C61"/>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7531A0"/>
    <w:rsid w:val="15B64F8F"/>
    <w:rsid w:val="15CF287D"/>
    <w:rsid w:val="16287370"/>
    <w:rsid w:val="162F011F"/>
    <w:rsid w:val="16BB26F8"/>
    <w:rsid w:val="16CD5009"/>
    <w:rsid w:val="17121734"/>
    <w:rsid w:val="176A14D9"/>
    <w:rsid w:val="17C078CB"/>
    <w:rsid w:val="17E23DD4"/>
    <w:rsid w:val="181E174A"/>
    <w:rsid w:val="183A3312"/>
    <w:rsid w:val="18F87A98"/>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76388C"/>
    <w:rsid w:val="1FB6782F"/>
    <w:rsid w:val="206A5E01"/>
    <w:rsid w:val="209B1322"/>
    <w:rsid w:val="20A57817"/>
    <w:rsid w:val="20C13F30"/>
    <w:rsid w:val="212C3222"/>
    <w:rsid w:val="212C6D72"/>
    <w:rsid w:val="213644A8"/>
    <w:rsid w:val="21510889"/>
    <w:rsid w:val="22546781"/>
    <w:rsid w:val="23151294"/>
    <w:rsid w:val="233F63EE"/>
    <w:rsid w:val="237F15A3"/>
    <w:rsid w:val="23A55F71"/>
    <w:rsid w:val="23AB2404"/>
    <w:rsid w:val="23AC7493"/>
    <w:rsid w:val="23BD6F5B"/>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445C52"/>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852AC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9F4A05"/>
    <w:rsid w:val="34AA01DC"/>
    <w:rsid w:val="34FE3C30"/>
    <w:rsid w:val="350F5212"/>
    <w:rsid w:val="351D2E33"/>
    <w:rsid w:val="352210FC"/>
    <w:rsid w:val="354202DB"/>
    <w:rsid w:val="355038A9"/>
    <w:rsid w:val="359D05B9"/>
    <w:rsid w:val="35A17702"/>
    <w:rsid w:val="367E42C7"/>
    <w:rsid w:val="36956B8C"/>
    <w:rsid w:val="371951A3"/>
    <w:rsid w:val="37EC1B56"/>
    <w:rsid w:val="38C954F8"/>
    <w:rsid w:val="39292AFC"/>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D672C3A"/>
    <w:rsid w:val="3E471DFD"/>
    <w:rsid w:val="3E6A1816"/>
    <w:rsid w:val="3F434A02"/>
    <w:rsid w:val="408753F4"/>
    <w:rsid w:val="408D10B1"/>
    <w:rsid w:val="40947325"/>
    <w:rsid w:val="40F405CC"/>
    <w:rsid w:val="40FA1029"/>
    <w:rsid w:val="41370768"/>
    <w:rsid w:val="415F76F8"/>
    <w:rsid w:val="416F6683"/>
    <w:rsid w:val="41A92C11"/>
    <w:rsid w:val="41D739A5"/>
    <w:rsid w:val="41DA6731"/>
    <w:rsid w:val="41DD004E"/>
    <w:rsid w:val="42044479"/>
    <w:rsid w:val="425F0F38"/>
    <w:rsid w:val="42AB75CB"/>
    <w:rsid w:val="42CE5FBB"/>
    <w:rsid w:val="42E90E20"/>
    <w:rsid w:val="43A0700B"/>
    <w:rsid w:val="44991AE0"/>
    <w:rsid w:val="44BD6023"/>
    <w:rsid w:val="44F778DB"/>
    <w:rsid w:val="45047CA4"/>
    <w:rsid w:val="451609AC"/>
    <w:rsid w:val="452015FE"/>
    <w:rsid w:val="4594103F"/>
    <w:rsid w:val="45B4435C"/>
    <w:rsid w:val="45E83876"/>
    <w:rsid w:val="45EB52C6"/>
    <w:rsid w:val="46625BDF"/>
    <w:rsid w:val="46B94F03"/>
    <w:rsid w:val="47585D41"/>
    <w:rsid w:val="47631940"/>
    <w:rsid w:val="47762CA8"/>
    <w:rsid w:val="477A5D4D"/>
    <w:rsid w:val="47A310D6"/>
    <w:rsid w:val="47AC5CCC"/>
    <w:rsid w:val="47E37682"/>
    <w:rsid w:val="47E7403E"/>
    <w:rsid w:val="47F27979"/>
    <w:rsid w:val="480774F3"/>
    <w:rsid w:val="4845132D"/>
    <w:rsid w:val="48BB4465"/>
    <w:rsid w:val="49216DBC"/>
    <w:rsid w:val="49387F21"/>
    <w:rsid w:val="495124E6"/>
    <w:rsid w:val="49AA0AC7"/>
    <w:rsid w:val="49EC1694"/>
    <w:rsid w:val="4A471741"/>
    <w:rsid w:val="4A5A4710"/>
    <w:rsid w:val="4A6878E6"/>
    <w:rsid w:val="4AFD7FBC"/>
    <w:rsid w:val="4B035078"/>
    <w:rsid w:val="4B8B4FBF"/>
    <w:rsid w:val="4BD6191E"/>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4F610152"/>
    <w:rsid w:val="505428F3"/>
    <w:rsid w:val="505C0BA4"/>
    <w:rsid w:val="507207FA"/>
    <w:rsid w:val="507A6FBA"/>
    <w:rsid w:val="508C5689"/>
    <w:rsid w:val="508D5948"/>
    <w:rsid w:val="509846A9"/>
    <w:rsid w:val="50AA5D32"/>
    <w:rsid w:val="50BB7729"/>
    <w:rsid w:val="51992D39"/>
    <w:rsid w:val="52294F82"/>
    <w:rsid w:val="52500057"/>
    <w:rsid w:val="526268DD"/>
    <w:rsid w:val="5274712B"/>
    <w:rsid w:val="5305453E"/>
    <w:rsid w:val="53F05904"/>
    <w:rsid w:val="549473C0"/>
    <w:rsid w:val="54F40A45"/>
    <w:rsid w:val="55F82031"/>
    <w:rsid w:val="55F920FF"/>
    <w:rsid w:val="56464255"/>
    <w:rsid w:val="56D42649"/>
    <w:rsid w:val="56DB1E11"/>
    <w:rsid w:val="57432F4E"/>
    <w:rsid w:val="574B01B0"/>
    <w:rsid w:val="57B06DB9"/>
    <w:rsid w:val="57BE004A"/>
    <w:rsid w:val="582E7F83"/>
    <w:rsid w:val="58741402"/>
    <w:rsid w:val="593D73DB"/>
    <w:rsid w:val="59EA15B7"/>
    <w:rsid w:val="5A1E418A"/>
    <w:rsid w:val="5A532049"/>
    <w:rsid w:val="5A53598B"/>
    <w:rsid w:val="5A975B84"/>
    <w:rsid w:val="5BFD5AB5"/>
    <w:rsid w:val="5C5C782A"/>
    <w:rsid w:val="5CCA1527"/>
    <w:rsid w:val="5D95049A"/>
    <w:rsid w:val="5DC62445"/>
    <w:rsid w:val="5DCA6837"/>
    <w:rsid w:val="5E6B43CE"/>
    <w:rsid w:val="5E923EC9"/>
    <w:rsid w:val="5F963482"/>
    <w:rsid w:val="5FA6139F"/>
    <w:rsid w:val="601B0AEB"/>
    <w:rsid w:val="60367908"/>
    <w:rsid w:val="604D0E43"/>
    <w:rsid w:val="60D713FC"/>
    <w:rsid w:val="611976DA"/>
    <w:rsid w:val="617A47CC"/>
    <w:rsid w:val="61C21FBF"/>
    <w:rsid w:val="62025FCA"/>
    <w:rsid w:val="62192F56"/>
    <w:rsid w:val="62262AD4"/>
    <w:rsid w:val="62730DFD"/>
    <w:rsid w:val="6281495E"/>
    <w:rsid w:val="62C9047A"/>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6FEA785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4C7AAA"/>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22B8A"/>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2512</Words>
  <Characters>3148</Characters>
  <Lines>2</Lines>
  <Paragraphs>1</Paragraphs>
  <TotalTime>14</TotalTime>
  <ScaleCrop>false</ScaleCrop>
  <LinksUpToDate>false</LinksUpToDate>
  <CharactersWithSpaces>3209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2025-12-02T01:25:57Z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