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楷体" w:hAnsi="楷体" w:eastAsia="楷体"/>
          <w:b/>
          <w:sz w:val="36"/>
          <w:szCs w:val="36"/>
        </w:rPr>
      </w:pPr>
      <w:r>
        <w:rPr>
          <w:rFonts w:hint="eastAsia" w:ascii="楷体" w:hAnsi="楷体" w:eastAsia="楷体"/>
          <w:b/>
          <w:sz w:val="36"/>
          <w:szCs w:val="36"/>
        </w:rPr>
        <w:t>关于调整“苏银理财恒源</w:t>
      </w:r>
      <w:r>
        <w:rPr>
          <w:rFonts w:hint="eastAsia" w:ascii="楷体" w:hAnsi="楷体" w:eastAsia="楷体"/>
          <w:b/>
          <w:sz w:val="36"/>
          <w:szCs w:val="36"/>
          <w:lang w:val="en-US" w:eastAsia="zh-CN"/>
        </w:rPr>
        <w:t>季开放12号</w:t>
      </w:r>
      <w:r>
        <w:rPr>
          <w:rFonts w:hint="eastAsia" w:ascii="楷体" w:hAnsi="楷体" w:eastAsia="楷体"/>
          <w:b/>
          <w:sz w:val="36"/>
          <w:szCs w:val="36"/>
        </w:rPr>
        <w:t xml:space="preserve">” </w:t>
      </w:r>
    </w:p>
    <w:p>
      <w:pPr>
        <w:jc w:val="center"/>
        <w:outlineLvl w:val="0"/>
        <w:rPr>
          <w:rFonts w:hint="eastAsia" w:ascii="楷体" w:hAnsi="楷体" w:eastAsia="楷体"/>
          <w:b/>
          <w:kern w:val="0"/>
          <w:sz w:val="36"/>
          <w:szCs w:val="36"/>
        </w:rPr>
      </w:pPr>
      <w:r>
        <w:rPr>
          <w:rFonts w:hint="eastAsia" w:ascii="楷体" w:hAnsi="楷体" w:eastAsia="楷体"/>
          <w:b/>
          <w:sz w:val="36"/>
          <w:szCs w:val="36"/>
        </w:rPr>
        <w:t>理财产品要素的公告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rPr>
          <w:rFonts w:hint="eastAsia" w:ascii="楷体" w:hAnsi="楷体" w:eastAsia="楷体" w:cs="Times New Roman"/>
          <w:sz w:val="28"/>
          <w:szCs w:val="28"/>
          <w:lang w:val="en-US" w:eastAsia="zh-CN"/>
        </w:rPr>
      </w:pPr>
      <w:r>
        <w:rPr>
          <w:rFonts w:hint="eastAsia"/>
          <w:lang w:val="en-US" w:eastAsia="zh-CN"/>
        </w:rPr>
        <w:t xml:space="preserve">    </w:t>
      </w:r>
      <w:r>
        <w:rPr>
          <w:rFonts w:hint="eastAsia" w:ascii="楷体" w:hAnsi="楷体" w:eastAsia="楷体" w:cs="Times New Roman"/>
          <w:sz w:val="28"/>
          <w:szCs w:val="28"/>
          <w:lang w:val="en-US" w:eastAsia="zh-CN"/>
        </w:rPr>
        <w:t xml:space="preserve"> 管理人拟对“苏银理财恒源季开放12号”理财产品部分要素进行调整，具体如下：</w:t>
      </w:r>
    </w:p>
    <w:p>
      <w:pPr>
        <w:pStyle w:val="2"/>
        <w:numPr>
          <w:ilvl w:val="0"/>
          <w:numId w:val="1"/>
        </w:numPr>
        <w:ind w:firstLine="562" w:firstLineChars="200"/>
        <w:rPr>
          <w:rFonts w:hint="eastAsia"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新增子份额</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为满足客户的投资需要，本产品增设子份额“</w:t>
      </w:r>
      <w:r>
        <w:rPr>
          <w:rFonts w:hint="eastAsia" w:ascii="楷体" w:hAnsi="楷体" w:eastAsia="楷体" w:cs="Times New Roman"/>
          <w:sz w:val="28"/>
          <w:szCs w:val="28"/>
          <w:lang w:eastAsia="zh-CN"/>
        </w:rPr>
        <w:t>苏银理财恒源</w:t>
      </w:r>
      <w:r>
        <w:rPr>
          <w:rFonts w:hint="eastAsia" w:ascii="楷体" w:hAnsi="楷体" w:eastAsia="楷体" w:cs="Times New Roman"/>
          <w:sz w:val="28"/>
          <w:szCs w:val="28"/>
          <w:lang w:val="en-US" w:eastAsia="zh-CN"/>
        </w:rPr>
        <w:t>季开</w:t>
      </w:r>
      <w:bookmarkStart w:id="0" w:name="_GoBack"/>
      <w:bookmarkEnd w:id="0"/>
      <w:r>
        <w:rPr>
          <w:rFonts w:hint="eastAsia" w:ascii="楷体" w:hAnsi="楷体" w:eastAsia="楷体" w:cs="Times New Roman"/>
          <w:sz w:val="28"/>
          <w:szCs w:val="28"/>
          <w:lang w:val="en-US" w:eastAsia="zh-CN"/>
        </w:rPr>
        <w:t>放12号E2</w:t>
      </w:r>
      <w:r>
        <w:rPr>
          <w:rFonts w:hint="eastAsia" w:ascii="楷体" w:hAnsi="楷体" w:eastAsia="楷体" w:cs="Times New Roman"/>
          <w:sz w:val="28"/>
          <w:szCs w:val="28"/>
        </w:rPr>
        <w:t>”（</w:t>
      </w:r>
      <w:r>
        <w:rPr>
          <w:rFonts w:hint="eastAsia" w:ascii="楷体" w:hAnsi="楷体" w:eastAsia="楷体" w:cs="Times New Roman"/>
          <w:sz w:val="28"/>
          <w:szCs w:val="28"/>
          <w:lang w:val="en-US" w:eastAsia="zh-CN"/>
        </w:rPr>
        <w:t>销售</w:t>
      </w:r>
      <w:r>
        <w:rPr>
          <w:rFonts w:hint="eastAsia" w:ascii="楷体" w:hAnsi="楷体" w:eastAsia="楷体" w:cs="Times New Roman"/>
          <w:sz w:val="28"/>
          <w:szCs w:val="28"/>
        </w:rPr>
        <w:t>代码：J09027），份额要素如下：</w:t>
      </w:r>
    </w:p>
    <w:p>
      <w:pPr>
        <w:pStyle w:val="11"/>
        <w:spacing w:before="0" w:beforeAutospacing="0" w:after="0" w:afterAutospacing="0" w:line="480" w:lineRule="auto"/>
        <w:ind w:firstLine="560" w:firstLineChars="200"/>
        <w:rPr>
          <w:rFonts w:hint="eastAsia" w:ascii="楷体" w:hAnsi="楷体" w:eastAsia="楷体" w:cs="Times New Roman"/>
          <w:sz w:val="28"/>
          <w:szCs w:val="28"/>
          <w:lang w:val="en-US" w:eastAsia="zh-CN"/>
        </w:rPr>
      </w:pPr>
      <w:r>
        <w:rPr>
          <w:rFonts w:hint="eastAsia" w:ascii="楷体" w:hAnsi="楷体" w:eastAsia="楷体" w:cs="Times New Roman"/>
          <w:sz w:val="28"/>
          <w:szCs w:val="28"/>
        </w:rPr>
        <w:t>1、</w:t>
      </w:r>
      <w:r>
        <w:rPr>
          <w:rFonts w:hint="eastAsia" w:ascii="楷体" w:hAnsi="楷体" w:eastAsia="楷体" w:cs="Times New Roman"/>
          <w:sz w:val="28"/>
          <w:szCs w:val="28"/>
          <w:lang w:val="en-US" w:eastAsia="zh-CN"/>
        </w:rPr>
        <w:t>E2</w:t>
      </w:r>
      <w:r>
        <w:rPr>
          <w:rFonts w:ascii="楷体" w:hAnsi="楷体" w:eastAsia="楷体" w:cs="Times New Roman"/>
          <w:sz w:val="28"/>
          <w:szCs w:val="28"/>
        </w:rPr>
        <w:t>份额</w:t>
      </w:r>
      <w:r>
        <w:rPr>
          <w:rFonts w:hint="eastAsia" w:ascii="楷体" w:hAnsi="楷体" w:eastAsia="楷体" w:cs="Times New Roman"/>
          <w:sz w:val="28"/>
          <w:szCs w:val="28"/>
        </w:rPr>
        <w:t>的销售对象为</w:t>
      </w:r>
      <w:r>
        <w:rPr>
          <w:rFonts w:hint="eastAsia" w:ascii="楷体" w:hAnsi="楷体" w:eastAsia="楷体" w:cs="Times New Roman"/>
          <w:sz w:val="28"/>
          <w:szCs w:val="28"/>
          <w:lang w:val="en-US" w:eastAsia="zh-CN"/>
        </w:rPr>
        <w:t>个人和机构</w:t>
      </w:r>
      <w:r>
        <w:rPr>
          <w:rFonts w:hint="eastAsia" w:ascii="楷体" w:hAnsi="楷体" w:eastAsia="楷体" w:cs="Times New Roman"/>
          <w:sz w:val="28"/>
          <w:szCs w:val="28"/>
        </w:rPr>
        <w:t>投资</w:t>
      </w:r>
      <w:r>
        <w:rPr>
          <w:rFonts w:hint="eastAsia" w:ascii="楷体" w:hAnsi="楷体" w:eastAsia="楷体" w:cs="Times New Roman"/>
          <w:sz w:val="28"/>
          <w:szCs w:val="28"/>
          <w:lang w:val="en-US" w:eastAsia="zh-CN"/>
        </w:rPr>
        <w:t>者，</w:t>
      </w:r>
      <w:r>
        <w:rPr>
          <w:rFonts w:hint="eastAsia" w:ascii="楷体" w:hAnsi="楷体" w:eastAsia="楷体" w:cs="Times New Roman"/>
          <w:sz w:val="28"/>
          <w:szCs w:val="28"/>
        </w:rPr>
        <w:t>销售机构名单以</w:t>
      </w:r>
      <w:r>
        <w:rPr>
          <w:rFonts w:hint="eastAsia" w:ascii="楷体" w:hAnsi="楷体" w:eastAsia="楷体" w:cs="Times New Roman"/>
          <w:sz w:val="28"/>
          <w:szCs w:val="28"/>
          <w:lang w:val="en-US" w:eastAsia="zh-CN"/>
        </w:rPr>
        <w:t>产品合同</w:t>
      </w:r>
      <w:r>
        <w:rPr>
          <w:rFonts w:hint="eastAsia" w:ascii="楷体" w:hAnsi="楷体" w:eastAsia="楷体" w:cs="Times New Roman"/>
          <w:sz w:val="28"/>
          <w:szCs w:val="28"/>
        </w:rPr>
        <w:t>为准</w:t>
      </w:r>
      <w:r>
        <w:rPr>
          <w:rFonts w:hint="eastAsia" w:ascii="楷体" w:hAnsi="楷体" w:eastAsia="楷体" w:cs="Times New Roman"/>
          <w:sz w:val="28"/>
          <w:szCs w:val="28"/>
          <w:lang w:val="en-US" w:eastAsia="zh-CN"/>
        </w:rPr>
        <w:t>。</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2、</w:t>
      </w:r>
      <w:r>
        <w:rPr>
          <w:rFonts w:hint="eastAsia" w:ascii="楷体" w:hAnsi="楷体" w:eastAsia="楷体" w:cs="Times New Roman"/>
          <w:sz w:val="28"/>
          <w:szCs w:val="28"/>
          <w:lang w:val="en-US" w:eastAsia="zh-CN"/>
        </w:rPr>
        <w:t>E2</w:t>
      </w:r>
      <w:r>
        <w:rPr>
          <w:rFonts w:ascii="楷体" w:hAnsi="楷体" w:eastAsia="楷体" w:cs="Times New Roman"/>
          <w:sz w:val="28"/>
          <w:szCs w:val="28"/>
        </w:rPr>
        <w:t>份额购买起点金额为</w:t>
      </w:r>
      <w:r>
        <w:rPr>
          <w:rFonts w:hint="eastAsia" w:ascii="楷体" w:hAnsi="楷体" w:eastAsia="楷体" w:cs="Times New Roman"/>
          <w:sz w:val="28"/>
          <w:szCs w:val="28"/>
          <w:lang w:val="en-US" w:eastAsia="zh-CN"/>
        </w:rPr>
        <w:t>20万</w:t>
      </w:r>
      <w:r>
        <w:rPr>
          <w:rFonts w:ascii="楷体" w:hAnsi="楷体" w:eastAsia="楷体" w:cs="Times New Roman"/>
          <w:sz w:val="28"/>
          <w:szCs w:val="28"/>
        </w:rPr>
        <w:t>元，追加金额为</w:t>
      </w:r>
      <w:r>
        <w:rPr>
          <w:rFonts w:hint="eastAsia" w:ascii="楷体" w:hAnsi="楷体" w:eastAsia="楷体" w:cs="Times New Roman"/>
          <w:sz w:val="28"/>
          <w:szCs w:val="28"/>
          <w:lang w:val="en-US" w:eastAsia="zh-CN"/>
        </w:rPr>
        <w:t>1万</w:t>
      </w:r>
      <w:r>
        <w:rPr>
          <w:rFonts w:ascii="楷体" w:hAnsi="楷体" w:eastAsia="楷体" w:cs="Times New Roman"/>
          <w:sz w:val="28"/>
          <w:szCs w:val="28"/>
        </w:rPr>
        <w:t>元的整数倍</w:t>
      </w:r>
      <w:r>
        <w:rPr>
          <w:rFonts w:hint="eastAsia" w:ascii="楷体" w:hAnsi="楷体" w:eastAsia="楷体" w:cs="Times New Roman"/>
          <w:sz w:val="28"/>
          <w:szCs w:val="28"/>
        </w:rPr>
        <w:t>。</w:t>
      </w:r>
    </w:p>
    <w:p>
      <w:pPr>
        <w:pStyle w:val="11"/>
        <w:spacing w:before="0" w:beforeAutospacing="0" w:after="0" w:afterAutospacing="0" w:line="480" w:lineRule="auto"/>
        <w:ind w:firstLine="560" w:firstLineChars="200"/>
        <w:jc w:val="left"/>
        <w:rPr>
          <w:rFonts w:ascii="楷体" w:hAnsi="楷体" w:eastAsia="楷体" w:cs="Times New Roman"/>
          <w:sz w:val="28"/>
          <w:szCs w:val="28"/>
        </w:rPr>
      </w:pPr>
      <w:r>
        <w:rPr>
          <w:rFonts w:hint="eastAsia" w:ascii="楷体" w:hAnsi="楷体" w:eastAsia="楷体" w:cs="Times New Roman"/>
          <w:sz w:val="28"/>
          <w:szCs w:val="28"/>
        </w:rPr>
        <w:t>3、</w:t>
      </w:r>
      <w:r>
        <w:rPr>
          <w:rFonts w:hint="eastAsia" w:ascii="楷体" w:hAnsi="楷体" w:eastAsia="楷体" w:cs="Times New Roman"/>
          <w:sz w:val="28"/>
          <w:szCs w:val="28"/>
          <w:lang w:val="en-US" w:eastAsia="zh-CN"/>
        </w:rPr>
        <w:t>E2</w:t>
      </w:r>
      <w:r>
        <w:rPr>
          <w:rFonts w:hint="eastAsia" w:ascii="楷体" w:hAnsi="楷体" w:eastAsia="楷体" w:cs="Times New Roman"/>
          <w:sz w:val="28"/>
          <w:szCs w:val="28"/>
        </w:rPr>
        <w:t>份额</w:t>
      </w:r>
      <w:r>
        <w:rPr>
          <w:rFonts w:hint="eastAsia" w:ascii="楷体" w:hAnsi="楷体" w:eastAsia="楷体" w:cs="Times New Roman"/>
          <w:sz w:val="28"/>
          <w:szCs w:val="28"/>
          <w:lang w:val="en-US" w:eastAsia="zh-CN"/>
        </w:rPr>
        <w:t>业绩比较基准为年化2.35%-3.15%（业绩比较基准为管理人对本产品所设定的投资目标，不代表理财产品未来表现，不等于理财产品实际收益，不作为产品收益的业绩保证，投资者的实际收益由产品净值表现决定），</w:t>
      </w:r>
      <w:r>
        <w:rPr>
          <w:rFonts w:hint="eastAsia" w:ascii="楷体" w:hAnsi="楷体" w:eastAsia="楷体" w:cs="Times New Roman"/>
          <w:sz w:val="28"/>
          <w:szCs w:val="28"/>
        </w:rPr>
        <w:t>销售服务费率</w:t>
      </w:r>
      <w:r>
        <w:rPr>
          <w:rFonts w:ascii="楷体" w:hAnsi="楷体" w:eastAsia="楷体" w:cs="Times New Roman"/>
          <w:sz w:val="28"/>
          <w:szCs w:val="28"/>
        </w:rPr>
        <w:t>0.</w:t>
      </w:r>
      <w:r>
        <w:rPr>
          <w:rFonts w:hint="eastAsia" w:ascii="楷体" w:hAnsi="楷体" w:eastAsia="楷体" w:cs="Times New Roman"/>
          <w:sz w:val="28"/>
          <w:szCs w:val="28"/>
          <w:lang w:val="en-US" w:eastAsia="zh-CN"/>
        </w:rPr>
        <w:t>5</w:t>
      </w:r>
      <w:r>
        <w:rPr>
          <w:rFonts w:hint="eastAsia" w:ascii="楷体" w:hAnsi="楷体" w:eastAsia="楷体" w:cs="Times New Roman"/>
          <w:sz w:val="28"/>
          <w:szCs w:val="28"/>
        </w:rPr>
        <w:t>0</w:t>
      </w:r>
      <w:r>
        <w:rPr>
          <w:rFonts w:ascii="楷体" w:hAnsi="楷体" w:eastAsia="楷体" w:cs="Times New Roman"/>
          <w:sz w:val="28"/>
          <w:szCs w:val="28"/>
        </w:rPr>
        <w:t>%/年</w:t>
      </w:r>
      <w:r>
        <w:rPr>
          <w:rFonts w:hint="eastAsia" w:ascii="楷体" w:hAnsi="楷体" w:eastAsia="楷体" w:cs="Times New Roman"/>
          <w:sz w:val="28"/>
          <w:szCs w:val="28"/>
        </w:rPr>
        <w:t>，投资管理费率</w:t>
      </w:r>
      <w:r>
        <w:rPr>
          <w:rFonts w:ascii="楷体" w:hAnsi="楷体" w:eastAsia="楷体" w:cs="Times New Roman"/>
          <w:sz w:val="28"/>
          <w:szCs w:val="28"/>
        </w:rPr>
        <w:t>0.</w:t>
      </w:r>
      <w:r>
        <w:rPr>
          <w:rFonts w:hint="eastAsia" w:ascii="楷体" w:hAnsi="楷体" w:eastAsia="楷体" w:cs="Times New Roman"/>
          <w:sz w:val="28"/>
          <w:szCs w:val="28"/>
          <w:lang w:val="en-US" w:eastAsia="zh-CN"/>
        </w:rPr>
        <w:t>55</w:t>
      </w:r>
      <w:r>
        <w:rPr>
          <w:rFonts w:ascii="楷体" w:hAnsi="楷体" w:eastAsia="楷体" w:cs="Times New Roman"/>
          <w:sz w:val="28"/>
          <w:szCs w:val="28"/>
        </w:rPr>
        <w:t>%/年</w:t>
      </w:r>
      <w:r>
        <w:rPr>
          <w:rFonts w:hint="eastAsia" w:ascii="楷体" w:hAnsi="楷体" w:eastAsia="楷体" w:cs="Times New Roman"/>
          <w:sz w:val="28"/>
          <w:szCs w:val="28"/>
        </w:rPr>
        <w:t>。</w:t>
      </w:r>
      <w:r>
        <w:rPr>
          <w:rFonts w:ascii="楷体" w:hAnsi="楷体" w:eastAsia="楷体" w:cs="Times New Roman"/>
          <w:sz w:val="28"/>
          <w:szCs w:val="28"/>
        </w:rPr>
        <w:t>产品存续期内苏银理财可对</w:t>
      </w:r>
      <w:r>
        <w:rPr>
          <w:rFonts w:hint="eastAsia" w:ascii="楷体" w:hAnsi="楷体" w:eastAsia="楷体" w:cs="Times New Roman"/>
          <w:sz w:val="28"/>
          <w:szCs w:val="28"/>
          <w:lang w:val="en-US" w:eastAsia="zh-CN"/>
        </w:rPr>
        <w:t>产品费用</w:t>
      </w:r>
      <w:r>
        <w:rPr>
          <w:rFonts w:ascii="楷体" w:hAnsi="楷体" w:eastAsia="楷体" w:cs="Times New Roman"/>
          <w:sz w:val="28"/>
          <w:szCs w:val="28"/>
        </w:rPr>
        <w:t>施行优惠，实际收取费率以管理人公告为准。</w:t>
      </w:r>
    </w:p>
    <w:p>
      <w:pPr>
        <w:numPr>
          <w:ilvl w:val="0"/>
          <w:numId w:val="0"/>
        </w:numPr>
        <w:ind w:firstLine="560" w:firstLineChars="200"/>
        <w:rPr>
          <w:rFonts w:hint="default"/>
          <w:lang w:val="en-US" w:eastAsia="zh-CN"/>
        </w:rPr>
      </w:pPr>
      <w:r>
        <w:rPr>
          <w:rFonts w:hint="eastAsia" w:ascii="楷体" w:hAnsi="楷体" w:eastAsia="楷体" w:cs="Times New Roman"/>
          <w:sz w:val="28"/>
          <w:szCs w:val="28"/>
          <w:lang w:val="en-US" w:eastAsia="zh-CN"/>
        </w:rPr>
        <w:t>份额其他产品要素以理财产品说明书约定为准。后续如有调整，以产品管理人公告为准。</w:t>
      </w:r>
    </w:p>
    <w:p>
      <w:pPr>
        <w:pStyle w:val="2"/>
        <w:numPr>
          <w:ilvl w:val="0"/>
          <w:numId w:val="2"/>
        </w:numPr>
        <w:ind w:firstLine="562" w:firstLineChars="200"/>
        <w:rPr>
          <w:rFonts w:hint="eastAsia"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销售起点/追加金额调整</w:t>
      </w:r>
    </w:p>
    <w:tbl>
      <w:tblPr>
        <w:tblStyle w:val="14"/>
        <w:tblW w:w="8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936"/>
        <w:gridCol w:w="2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936"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销售起点/追加金额</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p>
        </w:tc>
        <w:tc>
          <w:tcPr>
            <w:tcW w:w="2864"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销售起点/追加金额</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楷体"/>
                <w:i w:val="0"/>
                <w:color w:val="000000"/>
                <w:kern w:val="0"/>
                <w:sz w:val="24"/>
                <w:szCs w:val="24"/>
                <w:u w:val="none"/>
                <w:lang w:val="en-US" w:eastAsia="zh-CN" w:bidi="ar"/>
              </w:rPr>
              <w:t>苏银理财恒源季开放12号D</w:t>
            </w:r>
          </w:p>
        </w:tc>
        <w:tc>
          <w:tcPr>
            <w:tcW w:w="1195" w:type="dxa"/>
            <w:noWrap w:val="0"/>
            <w:vAlign w:val="center"/>
          </w:tcPr>
          <w:p>
            <w:pPr>
              <w:keepNext w:val="0"/>
              <w:keepLines w:val="0"/>
              <w:widowControl/>
              <w:suppressLineNumbers w:val="0"/>
              <w:jc w:val="center"/>
              <w:textAlignment w:val="center"/>
              <w:rPr>
                <w:rFonts w:hint="default" w:ascii="楷体" w:hAnsi="楷体" w:eastAsia="楷体" w:cs="Times New Roman"/>
                <w:kern w:val="0"/>
                <w:sz w:val="28"/>
                <w:szCs w:val="28"/>
                <w:lang w:val="en-US" w:eastAsia="zh-CN" w:bidi="ar-SA"/>
              </w:rPr>
            </w:pPr>
            <w:r>
              <w:rPr>
                <w:rFonts w:hint="eastAsia" w:ascii="楷体" w:hAnsi="楷体" w:eastAsia="楷体" w:cs="楷体"/>
                <w:i w:val="0"/>
                <w:iCs w:val="0"/>
                <w:color w:val="000000"/>
                <w:kern w:val="0"/>
                <w:sz w:val="24"/>
                <w:szCs w:val="24"/>
                <w:u w:val="none"/>
                <w:lang w:val="en-US" w:eastAsia="zh-CN" w:bidi="ar"/>
              </w:rPr>
              <w:t>J02868</w:t>
            </w:r>
          </w:p>
        </w:tc>
        <w:tc>
          <w:tcPr>
            <w:tcW w:w="2936"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Times New Roman"/>
                <w:kern w:val="0"/>
                <w:sz w:val="24"/>
                <w:szCs w:val="24"/>
                <w:lang w:val="en-US" w:eastAsia="zh-CN" w:bidi="ar-SA"/>
              </w:rPr>
            </w:pPr>
            <w:r>
              <w:rPr>
                <w:rFonts w:hint="eastAsia" w:ascii="楷体" w:hAnsi="楷体" w:eastAsia="楷体" w:cs="宋体"/>
                <w:spacing w:val="-2"/>
                <w:sz w:val="21"/>
                <w:szCs w:val="21"/>
                <w:highlight w:val="none"/>
              </w:rPr>
              <w:t>个人投资者认购起点50万元，追加金额为1万元的整数倍；机构投资者认购起点5000万元，追加金额为1万元的整数倍。</w:t>
            </w:r>
          </w:p>
        </w:tc>
        <w:tc>
          <w:tcPr>
            <w:tcW w:w="2864"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宋体"/>
                <w:spacing w:val="-2"/>
                <w:sz w:val="21"/>
                <w:szCs w:val="21"/>
                <w:highlight w:val="none"/>
              </w:rPr>
              <w:t>个人投资者认购起点50万元，追加金额为1万元的整数倍；机构投资者认购起点</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000万元，追加金额为1万元的整数倍。</w:t>
            </w:r>
          </w:p>
        </w:tc>
      </w:tr>
    </w:tbl>
    <w:p>
      <w:pPr>
        <w:pStyle w:val="2"/>
        <w:numPr>
          <w:ilvl w:val="0"/>
          <w:numId w:val="2"/>
        </w:numPr>
        <w:ind w:firstLine="562" w:firstLineChars="200"/>
        <w:rPr>
          <w:rFonts w:hint="default"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说明书费用调整</w:t>
      </w:r>
    </w:p>
    <w:tbl>
      <w:tblPr>
        <w:tblStyle w:val="14"/>
        <w:tblW w:w="8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732"/>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732"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vertAlign w:val="baseline"/>
                <w:lang w:val="en-US" w:eastAsia="zh-CN"/>
              </w:rPr>
              <w:t>说明书固定管理费</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p>
        </w:tc>
        <w:tc>
          <w:tcPr>
            <w:tcW w:w="3027"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vertAlign w:val="baseline"/>
                <w:lang w:val="en-US" w:eastAsia="zh-CN"/>
              </w:rPr>
              <w:t>说明书固定管理费</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2"/>
                <w:sz w:val="32"/>
                <w:szCs w:val="32"/>
                <w:lang w:val="en-US" w:eastAsia="zh-CN" w:bidi="ar-SA"/>
              </w:rPr>
            </w:pPr>
            <w:r>
              <w:rPr>
                <w:rFonts w:hint="eastAsia" w:ascii="楷体" w:hAnsi="楷体" w:eastAsia="楷体" w:cs="楷体"/>
                <w:i w:val="0"/>
                <w:color w:val="000000"/>
                <w:kern w:val="0"/>
                <w:sz w:val="24"/>
                <w:szCs w:val="24"/>
                <w:u w:val="none"/>
                <w:lang w:val="en-US" w:eastAsia="zh-CN" w:bidi="ar"/>
              </w:rPr>
              <w:t>苏银理财恒源季开放12号W</w:t>
            </w:r>
          </w:p>
        </w:tc>
        <w:tc>
          <w:tcPr>
            <w:tcW w:w="119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32"/>
                <w:szCs w:val="32"/>
                <w:u w:val="none"/>
                <w:lang w:val="en-US" w:eastAsia="zh-CN" w:bidi="ar"/>
              </w:rPr>
            </w:pPr>
            <w:r>
              <w:rPr>
                <w:rFonts w:hint="eastAsia" w:ascii="楷体" w:hAnsi="楷体" w:eastAsia="楷体" w:cs="楷体"/>
                <w:i w:val="0"/>
                <w:iCs w:val="0"/>
                <w:color w:val="000000"/>
                <w:kern w:val="0"/>
                <w:sz w:val="24"/>
                <w:szCs w:val="24"/>
                <w:u w:val="none"/>
                <w:lang w:val="en-US" w:eastAsia="zh-CN" w:bidi="ar"/>
              </w:rPr>
              <w:t>J03154</w:t>
            </w:r>
          </w:p>
        </w:tc>
        <w:tc>
          <w:tcPr>
            <w:tcW w:w="2732"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0.80%/年</w:t>
            </w:r>
          </w:p>
        </w:tc>
        <w:tc>
          <w:tcPr>
            <w:tcW w:w="3027"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0.90%/年</w:t>
            </w:r>
          </w:p>
        </w:tc>
      </w:tr>
    </w:tbl>
    <w:p>
      <w:pPr>
        <w:pStyle w:val="2"/>
        <w:numPr>
          <w:ilvl w:val="0"/>
          <w:numId w:val="2"/>
        </w:numPr>
        <w:ind w:firstLine="562" w:firstLineChars="200"/>
        <w:rPr>
          <w:rFonts w:hint="default"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业绩比较基准调整</w:t>
      </w:r>
    </w:p>
    <w:tbl>
      <w:tblPr>
        <w:tblStyle w:val="14"/>
        <w:tblW w:w="8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732"/>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732"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r>
              <w:rPr>
                <w:rFonts w:hint="eastAsia" w:ascii="楷体" w:hAnsi="楷体" w:eastAsia="楷体" w:cs="Times New Roman"/>
                <w:b/>
                <w:bCs/>
                <w:sz w:val="24"/>
                <w:szCs w:val="24"/>
                <w:vertAlign w:val="baseline"/>
                <w:lang w:val="en-US" w:eastAsia="zh-CN"/>
              </w:rPr>
              <w:t>业绩比较基准</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（年化）</w:t>
            </w:r>
          </w:p>
        </w:tc>
        <w:tc>
          <w:tcPr>
            <w:tcW w:w="3027"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调整后业绩比较基准</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2"/>
                <w:sz w:val="32"/>
                <w:szCs w:val="32"/>
                <w:lang w:val="en-US" w:eastAsia="zh-CN" w:bidi="ar-SA"/>
              </w:rPr>
            </w:pPr>
            <w:r>
              <w:rPr>
                <w:rFonts w:hint="eastAsia" w:ascii="楷体" w:hAnsi="楷体" w:eastAsia="楷体" w:cs="楷体"/>
                <w:i w:val="0"/>
                <w:color w:val="000000"/>
                <w:kern w:val="0"/>
                <w:sz w:val="24"/>
                <w:szCs w:val="24"/>
                <w:u w:val="none"/>
                <w:lang w:val="en-US" w:eastAsia="zh-CN" w:bidi="ar"/>
              </w:rPr>
              <w:t>苏银理财恒源季开放12号W</w:t>
            </w:r>
          </w:p>
        </w:tc>
        <w:tc>
          <w:tcPr>
            <w:tcW w:w="119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32"/>
                <w:szCs w:val="32"/>
                <w:u w:val="none"/>
                <w:lang w:val="en-US" w:eastAsia="zh-CN" w:bidi="ar"/>
              </w:rPr>
            </w:pPr>
            <w:r>
              <w:rPr>
                <w:rFonts w:hint="eastAsia" w:ascii="楷体" w:hAnsi="楷体" w:eastAsia="楷体" w:cs="楷体"/>
                <w:i w:val="0"/>
                <w:iCs w:val="0"/>
                <w:color w:val="000000"/>
                <w:kern w:val="0"/>
                <w:sz w:val="24"/>
                <w:szCs w:val="24"/>
                <w:u w:val="none"/>
                <w:lang w:val="en-US" w:eastAsia="zh-CN" w:bidi="ar"/>
              </w:rPr>
              <w:t>J03154</w:t>
            </w:r>
          </w:p>
        </w:tc>
        <w:tc>
          <w:tcPr>
            <w:tcW w:w="2732"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2.10%-2.90%</w:t>
            </w:r>
          </w:p>
        </w:tc>
        <w:tc>
          <w:tcPr>
            <w:tcW w:w="3027"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2.00%-2.80%</w:t>
            </w:r>
          </w:p>
        </w:tc>
      </w:tr>
    </w:tbl>
    <w:p>
      <w:pPr>
        <w:spacing w:line="520" w:lineRule="exact"/>
        <w:ind w:firstLine="565" w:firstLineChars="202"/>
        <w:rPr>
          <w:rFonts w:hint="default" w:ascii="楷体" w:hAnsi="楷体" w:eastAsia="楷体" w:cs="Times New Roman"/>
          <w:sz w:val="28"/>
          <w:szCs w:val="28"/>
          <w:lang w:val="en-US" w:eastAsia="zh-CN"/>
        </w:rPr>
      </w:pPr>
      <w:r>
        <w:rPr>
          <w:rFonts w:hint="eastAsia" w:ascii="楷体" w:hAnsi="楷体" w:eastAsia="楷体" w:cs="Times New Roman"/>
          <w:sz w:val="28"/>
          <w:szCs w:val="28"/>
          <w:lang w:val="en-US" w:eastAsia="zh-CN"/>
        </w:rPr>
        <w:t>业绩比较基准为管理人对本产品所设定的投资目标，不代表理财产品未来表现，不等于理财产品实际收益，不构成管理人对产品实际投资收益率的承诺或担保，投资者的实际收益由产品净值表现决定。</w:t>
      </w:r>
    </w:p>
    <w:p>
      <w:pPr>
        <w:spacing w:line="520" w:lineRule="exact"/>
        <w:ind w:firstLine="565" w:firstLineChars="202"/>
        <w:rPr>
          <w:rFonts w:hint="eastAsia" w:ascii="楷体" w:hAnsi="楷体" w:eastAsia="楷体"/>
          <w:sz w:val="28"/>
          <w:szCs w:val="28"/>
          <w:lang w:val="en-US" w:eastAsia="zh-CN"/>
        </w:rPr>
      </w:pPr>
      <w:r>
        <w:rPr>
          <w:rFonts w:hint="eastAsia" w:ascii="楷体" w:hAnsi="楷体" w:eastAsia="楷体"/>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10</w:t>
      </w:r>
      <w:r>
        <w:rPr>
          <w:rFonts w:hint="eastAsia" w:ascii="楷体" w:hAnsi="楷体" w:eastAsia="楷体"/>
          <w:kern w:val="0"/>
          <w:sz w:val="28"/>
          <w:szCs w:val="28"/>
        </w:rPr>
        <w:t>月</w:t>
      </w:r>
      <w:r>
        <w:rPr>
          <w:rFonts w:hint="eastAsia" w:ascii="楷体" w:hAnsi="楷体" w:eastAsia="楷体"/>
          <w:kern w:val="0"/>
          <w:sz w:val="28"/>
          <w:szCs w:val="28"/>
          <w:lang w:val="en-US" w:eastAsia="zh-CN"/>
        </w:rPr>
        <w:t>11</w:t>
      </w:r>
      <w:r>
        <w:rPr>
          <w:rFonts w:hint="eastAsia" w:ascii="楷体" w:hAnsi="楷体" w:eastAsia="楷体"/>
          <w:kern w:val="0"/>
          <w:sz w:val="28"/>
          <w:szCs w:val="28"/>
        </w:rPr>
        <w:t>日</w:t>
      </w:r>
    </w:p>
    <w:p>
      <w:pPr>
        <w:spacing w:line="520" w:lineRule="exact"/>
        <w:rPr>
          <w:rFonts w:hint="eastAsia"/>
        </w:rPr>
      </w:pPr>
    </w:p>
    <w:p>
      <w:pPr>
        <w:spacing w:line="520" w:lineRule="exact"/>
        <w:rPr>
          <w:rFonts w:hint="eastAsia"/>
        </w:rPr>
      </w:pPr>
    </w:p>
    <w:p>
      <w:pPr>
        <w:spacing w:line="520" w:lineRule="exact"/>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p>
      <w:pPr>
        <w:spacing w:line="520" w:lineRule="exact"/>
      </w:pP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1EADA4"/>
    <w:multiLevelType w:val="singleLevel"/>
    <w:tmpl w:val="001EADA4"/>
    <w:lvl w:ilvl="0" w:tentative="0">
      <w:start w:val="2"/>
      <w:numFmt w:val="chineseCounting"/>
      <w:suff w:val="nothing"/>
      <w:lvlText w:val="%1、"/>
      <w:lvlJc w:val="left"/>
      <w:rPr>
        <w:rFonts w:hint="eastAsia"/>
      </w:rPr>
    </w:lvl>
  </w:abstractNum>
  <w:abstractNum w:abstractNumId="1">
    <w:nsid w:val="4A342CD8"/>
    <w:multiLevelType w:val="singleLevel"/>
    <w:tmpl w:val="4A342CD8"/>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0563"/>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B0078"/>
    <w:rsid w:val="000B0690"/>
    <w:rsid w:val="000B0E85"/>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2E7D"/>
    <w:rsid w:val="000E34F3"/>
    <w:rsid w:val="000E4205"/>
    <w:rsid w:val="000E7579"/>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7395"/>
    <w:rsid w:val="00140B25"/>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78FF"/>
    <w:rsid w:val="001E0062"/>
    <w:rsid w:val="001E0387"/>
    <w:rsid w:val="001E223F"/>
    <w:rsid w:val="001E4374"/>
    <w:rsid w:val="001E4A82"/>
    <w:rsid w:val="001E4C0D"/>
    <w:rsid w:val="001E4E95"/>
    <w:rsid w:val="001E623C"/>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636"/>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B6C82"/>
    <w:rsid w:val="002C021F"/>
    <w:rsid w:val="002C2056"/>
    <w:rsid w:val="002C222A"/>
    <w:rsid w:val="002C23F7"/>
    <w:rsid w:val="002C3367"/>
    <w:rsid w:val="002C7117"/>
    <w:rsid w:val="002C7CB4"/>
    <w:rsid w:val="002D0706"/>
    <w:rsid w:val="002D29FD"/>
    <w:rsid w:val="002D2AEC"/>
    <w:rsid w:val="002D2C1F"/>
    <w:rsid w:val="002D4FE3"/>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4ED6"/>
    <w:rsid w:val="003656BF"/>
    <w:rsid w:val="00366074"/>
    <w:rsid w:val="00367122"/>
    <w:rsid w:val="0037083D"/>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48E3"/>
    <w:rsid w:val="003A539D"/>
    <w:rsid w:val="003A5FA1"/>
    <w:rsid w:val="003A7623"/>
    <w:rsid w:val="003B1725"/>
    <w:rsid w:val="003B242C"/>
    <w:rsid w:val="003B324C"/>
    <w:rsid w:val="003B4D64"/>
    <w:rsid w:val="003B5DFB"/>
    <w:rsid w:val="003B6220"/>
    <w:rsid w:val="003B76DC"/>
    <w:rsid w:val="003C1E93"/>
    <w:rsid w:val="003C2161"/>
    <w:rsid w:val="003C596C"/>
    <w:rsid w:val="003C6765"/>
    <w:rsid w:val="003D03AF"/>
    <w:rsid w:val="003D07CA"/>
    <w:rsid w:val="003D1FE5"/>
    <w:rsid w:val="003D3735"/>
    <w:rsid w:val="003D5148"/>
    <w:rsid w:val="003D5CDF"/>
    <w:rsid w:val="003D6081"/>
    <w:rsid w:val="003D6720"/>
    <w:rsid w:val="003D6B3F"/>
    <w:rsid w:val="003D7951"/>
    <w:rsid w:val="003E030F"/>
    <w:rsid w:val="003E1EFB"/>
    <w:rsid w:val="003E2B26"/>
    <w:rsid w:val="003E4299"/>
    <w:rsid w:val="003E6D92"/>
    <w:rsid w:val="003E70B9"/>
    <w:rsid w:val="003E7812"/>
    <w:rsid w:val="003F2136"/>
    <w:rsid w:val="003F277A"/>
    <w:rsid w:val="003F29B2"/>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2D31"/>
    <w:rsid w:val="00426041"/>
    <w:rsid w:val="00426CBC"/>
    <w:rsid w:val="00427CC0"/>
    <w:rsid w:val="0043002F"/>
    <w:rsid w:val="004303B3"/>
    <w:rsid w:val="00430927"/>
    <w:rsid w:val="0043308A"/>
    <w:rsid w:val="00433113"/>
    <w:rsid w:val="00433DCD"/>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3AC9"/>
    <w:rsid w:val="004F3E60"/>
    <w:rsid w:val="004F40EF"/>
    <w:rsid w:val="004F46F0"/>
    <w:rsid w:val="004F4F78"/>
    <w:rsid w:val="004F55EC"/>
    <w:rsid w:val="005013A2"/>
    <w:rsid w:val="005017DC"/>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66CB"/>
    <w:rsid w:val="00527FBD"/>
    <w:rsid w:val="0053069A"/>
    <w:rsid w:val="005308B0"/>
    <w:rsid w:val="00533B31"/>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3D7"/>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1CC2"/>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38D"/>
    <w:rsid w:val="00671A6A"/>
    <w:rsid w:val="00673F0C"/>
    <w:rsid w:val="00676A38"/>
    <w:rsid w:val="00680098"/>
    <w:rsid w:val="00680957"/>
    <w:rsid w:val="00682CFC"/>
    <w:rsid w:val="00683B13"/>
    <w:rsid w:val="00686216"/>
    <w:rsid w:val="00686325"/>
    <w:rsid w:val="00686EC4"/>
    <w:rsid w:val="00687063"/>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5097"/>
    <w:rsid w:val="006B5516"/>
    <w:rsid w:val="006B5D36"/>
    <w:rsid w:val="006B5E7D"/>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6F79D7"/>
    <w:rsid w:val="00700A73"/>
    <w:rsid w:val="007015E9"/>
    <w:rsid w:val="00702A10"/>
    <w:rsid w:val="0070484E"/>
    <w:rsid w:val="00704ED8"/>
    <w:rsid w:val="0070601C"/>
    <w:rsid w:val="00706787"/>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0D68"/>
    <w:rsid w:val="0080100B"/>
    <w:rsid w:val="00801BBC"/>
    <w:rsid w:val="00802684"/>
    <w:rsid w:val="00804380"/>
    <w:rsid w:val="00804490"/>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7D2F"/>
    <w:rsid w:val="008800C1"/>
    <w:rsid w:val="00881137"/>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A85"/>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1A69"/>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0DCA"/>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2F73"/>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B7AD4"/>
    <w:rsid w:val="00AC12F5"/>
    <w:rsid w:val="00AC1749"/>
    <w:rsid w:val="00AC2A9D"/>
    <w:rsid w:val="00AC56CE"/>
    <w:rsid w:val="00AC59CF"/>
    <w:rsid w:val="00AC604F"/>
    <w:rsid w:val="00AC71B2"/>
    <w:rsid w:val="00AD2F15"/>
    <w:rsid w:val="00AD34FD"/>
    <w:rsid w:val="00AD4224"/>
    <w:rsid w:val="00AD4E75"/>
    <w:rsid w:val="00AD6DC7"/>
    <w:rsid w:val="00AD74C8"/>
    <w:rsid w:val="00AD757C"/>
    <w:rsid w:val="00AE3181"/>
    <w:rsid w:val="00AE357C"/>
    <w:rsid w:val="00AE6795"/>
    <w:rsid w:val="00AE6ED6"/>
    <w:rsid w:val="00AE7EDF"/>
    <w:rsid w:val="00AF07F9"/>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48F"/>
    <w:rsid w:val="00B35AF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CF7"/>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3E9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1BA5"/>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524"/>
    <w:rsid w:val="00CA3E46"/>
    <w:rsid w:val="00CA5475"/>
    <w:rsid w:val="00CA6FE3"/>
    <w:rsid w:val="00CB0E61"/>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121B"/>
    <w:rsid w:val="00DB6664"/>
    <w:rsid w:val="00DB73FB"/>
    <w:rsid w:val="00DB7CD4"/>
    <w:rsid w:val="00DC0DBE"/>
    <w:rsid w:val="00DC429D"/>
    <w:rsid w:val="00DC6E17"/>
    <w:rsid w:val="00DC6F8F"/>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9E8"/>
    <w:rsid w:val="00E46BFA"/>
    <w:rsid w:val="00E47194"/>
    <w:rsid w:val="00E477BE"/>
    <w:rsid w:val="00E47B62"/>
    <w:rsid w:val="00E51517"/>
    <w:rsid w:val="00E51F74"/>
    <w:rsid w:val="00E5403A"/>
    <w:rsid w:val="00E54533"/>
    <w:rsid w:val="00E55868"/>
    <w:rsid w:val="00E60C14"/>
    <w:rsid w:val="00E61815"/>
    <w:rsid w:val="00E63C50"/>
    <w:rsid w:val="00E653EB"/>
    <w:rsid w:val="00E65D86"/>
    <w:rsid w:val="00E66967"/>
    <w:rsid w:val="00E67E1C"/>
    <w:rsid w:val="00E70E2A"/>
    <w:rsid w:val="00E72C1A"/>
    <w:rsid w:val="00E745C5"/>
    <w:rsid w:val="00E74BBE"/>
    <w:rsid w:val="00E75451"/>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1502"/>
    <w:rsid w:val="00F53604"/>
    <w:rsid w:val="00F54A39"/>
    <w:rsid w:val="00F54B2D"/>
    <w:rsid w:val="00F54BBB"/>
    <w:rsid w:val="00F55625"/>
    <w:rsid w:val="00F55FAE"/>
    <w:rsid w:val="00F60171"/>
    <w:rsid w:val="00F6086F"/>
    <w:rsid w:val="00F613FA"/>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5FCF"/>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45565FB"/>
    <w:rsid w:val="05C24554"/>
    <w:rsid w:val="07731EDA"/>
    <w:rsid w:val="0784404A"/>
    <w:rsid w:val="099D0555"/>
    <w:rsid w:val="0AA66B07"/>
    <w:rsid w:val="0BA66D62"/>
    <w:rsid w:val="0C2E7DE5"/>
    <w:rsid w:val="0DAF4280"/>
    <w:rsid w:val="0EF5090E"/>
    <w:rsid w:val="103A4EAF"/>
    <w:rsid w:val="10707444"/>
    <w:rsid w:val="10E55ACF"/>
    <w:rsid w:val="138D6E1B"/>
    <w:rsid w:val="14030913"/>
    <w:rsid w:val="154C69AD"/>
    <w:rsid w:val="15CF287D"/>
    <w:rsid w:val="15D4371D"/>
    <w:rsid w:val="16116348"/>
    <w:rsid w:val="163816F1"/>
    <w:rsid w:val="18106956"/>
    <w:rsid w:val="18F736C2"/>
    <w:rsid w:val="192B0D84"/>
    <w:rsid w:val="1A4E3859"/>
    <w:rsid w:val="1AC763E3"/>
    <w:rsid w:val="1B664B02"/>
    <w:rsid w:val="1CD77CF3"/>
    <w:rsid w:val="1CE34318"/>
    <w:rsid w:val="1E370F59"/>
    <w:rsid w:val="1E996BC3"/>
    <w:rsid w:val="1F7946A4"/>
    <w:rsid w:val="1FE92EB2"/>
    <w:rsid w:val="224E07D6"/>
    <w:rsid w:val="22E01A46"/>
    <w:rsid w:val="28183520"/>
    <w:rsid w:val="286E0463"/>
    <w:rsid w:val="290918A1"/>
    <w:rsid w:val="2A3744FF"/>
    <w:rsid w:val="2BC035CC"/>
    <w:rsid w:val="2EB879E5"/>
    <w:rsid w:val="2FD10999"/>
    <w:rsid w:val="31996E41"/>
    <w:rsid w:val="33346C59"/>
    <w:rsid w:val="34622BDD"/>
    <w:rsid w:val="34CF2843"/>
    <w:rsid w:val="34D26D17"/>
    <w:rsid w:val="35C75C95"/>
    <w:rsid w:val="39AE79B4"/>
    <w:rsid w:val="3ABF7DB8"/>
    <w:rsid w:val="3AFF4350"/>
    <w:rsid w:val="3E5206FE"/>
    <w:rsid w:val="45EB52C6"/>
    <w:rsid w:val="46185D1F"/>
    <w:rsid w:val="482B6C56"/>
    <w:rsid w:val="49AE47A5"/>
    <w:rsid w:val="4ACF7A75"/>
    <w:rsid w:val="4B43165C"/>
    <w:rsid w:val="4C675C96"/>
    <w:rsid w:val="4DE250C0"/>
    <w:rsid w:val="4F40507F"/>
    <w:rsid w:val="4F9C5574"/>
    <w:rsid w:val="4FF91545"/>
    <w:rsid w:val="52020F9B"/>
    <w:rsid w:val="527D382B"/>
    <w:rsid w:val="528638F8"/>
    <w:rsid w:val="53E1377B"/>
    <w:rsid w:val="550E6F94"/>
    <w:rsid w:val="55170CA3"/>
    <w:rsid w:val="554B526C"/>
    <w:rsid w:val="582F3CF4"/>
    <w:rsid w:val="58693E4E"/>
    <w:rsid w:val="58A27E95"/>
    <w:rsid w:val="5AED3DD9"/>
    <w:rsid w:val="5BAF5CDC"/>
    <w:rsid w:val="5D0143FE"/>
    <w:rsid w:val="621D43C7"/>
    <w:rsid w:val="629B7BA9"/>
    <w:rsid w:val="639B4440"/>
    <w:rsid w:val="63CD2A95"/>
    <w:rsid w:val="65F20436"/>
    <w:rsid w:val="66B44B18"/>
    <w:rsid w:val="69C04ABB"/>
    <w:rsid w:val="6AC25DB6"/>
    <w:rsid w:val="6ACE4D37"/>
    <w:rsid w:val="6D533A1E"/>
    <w:rsid w:val="6E584699"/>
    <w:rsid w:val="7396760B"/>
    <w:rsid w:val="73B82F5E"/>
    <w:rsid w:val="74966354"/>
    <w:rsid w:val="76004113"/>
    <w:rsid w:val="76442DB5"/>
    <w:rsid w:val="76816DDF"/>
    <w:rsid w:val="77667C2A"/>
    <w:rsid w:val="7B0A6242"/>
    <w:rsid w:val="7B4D1255"/>
    <w:rsid w:val="7C315F08"/>
    <w:rsid w:val="7EA118FD"/>
    <w:rsid w:val="7F685EF5"/>
    <w:rsid w:val="7FBA204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30"/>
    <w:semiHidden/>
    <w:qFormat/>
    <w:uiPriority w:val="99"/>
    <w:rPr>
      <w:rFonts w:ascii="Times New Roman" w:hAnsi="Times New Roman"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57</Words>
  <Characters>327</Characters>
  <Lines>2</Lines>
  <Paragraphs>1</Paragraphs>
  <TotalTime>223</TotalTime>
  <ScaleCrop>false</ScaleCrop>
  <LinksUpToDate>false</LinksUpToDate>
  <CharactersWithSpaces>383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2021-11-25T11:20:00Z</dcterms:created>
  <dc:creator>JSYH</dc:creator>
  <cp:lastModifiedBy>lhy</cp:lastModifiedBy>
  <cp:lastPrinted>2022-06-20T06:27:00Z</cp:lastPrinted>
  <dcterms:modified xsi:type="dcterms:W3CDTF">2025-10-10T06:34:34Z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EBF0DB62C4564D069F9F67C80E19E906</vt:lpwstr>
  </property>
</Properties>
</file>