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074A" w:rsidRDefault="00185114">
      <w:pPr>
        <w:widowControl/>
        <w:spacing w:line="360" w:lineRule="auto"/>
        <w:jc w:val="center"/>
        <w:rPr>
          <w:rStyle w:val="af0"/>
          <w:rFonts w:ascii="宋体" w:hAnsi="宋体"/>
          <w:sz w:val="30"/>
          <w:szCs w:val="30"/>
        </w:rPr>
      </w:pPr>
      <w:r>
        <w:rPr>
          <w:rFonts w:ascii="宋体" w:hAnsi="宋体" w:hint="eastAsia"/>
          <w:b/>
          <w:sz w:val="30"/>
          <w:szCs w:val="30"/>
        </w:rPr>
        <w:t>理财非存款、产品有风险、投资须谨慎！</w:t>
      </w:r>
    </w:p>
    <w:p w:rsidR="0089074A" w:rsidRDefault="0089074A">
      <w:pPr>
        <w:adjustRightInd w:val="0"/>
        <w:spacing w:line="360" w:lineRule="auto"/>
        <w:jc w:val="center"/>
        <w:rPr>
          <w:rStyle w:val="af0"/>
          <w:rFonts w:ascii="宋体" w:hAnsi="宋体"/>
          <w:sz w:val="32"/>
          <w:szCs w:val="32"/>
        </w:rPr>
      </w:pPr>
    </w:p>
    <w:p w:rsidR="0089074A" w:rsidRDefault="0089074A">
      <w:pPr>
        <w:adjustRightInd w:val="0"/>
        <w:spacing w:line="360" w:lineRule="auto"/>
        <w:jc w:val="center"/>
        <w:rPr>
          <w:rStyle w:val="af0"/>
          <w:rFonts w:ascii="宋体" w:hAnsi="宋体"/>
          <w:sz w:val="32"/>
          <w:szCs w:val="32"/>
        </w:rPr>
      </w:pPr>
    </w:p>
    <w:p w:rsidR="0089074A" w:rsidRDefault="00185114">
      <w:pPr>
        <w:adjustRightInd w:val="0"/>
        <w:spacing w:line="360" w:lineRule="auto"/>
        <w:jc w:val="center"/>
        <w:rPr>
          <w:rStyle w:val="af0"/>
          <w:rFonts w:ascii="宋体" w:hAnsi="宋体"/>
          <w:sz w:val="32"/>
          <w:szCs w:val="32"/>
        </w:rPr>
      </w:pPr>
      <w:r>
        <w:rPr>
          <w:rFonts w:ascii="黑体" w:eastAsia="黑体" w:hAnsi="黑体"/>
          <w:b/>
          <w:noProof/>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rsidR="0089074A" w:rsidRDefault="0089074A">
      <w:pPr>
        <w:adjustRightInd w:val="0"/>
        <w:spacing w:line="360" w:lineRule="auto"/>
        <w:jc w:val="center"/>
        <w:rPr>
          <w:rStyle w:val="af0"/>
          <w:rFonts w:ascii="宋体" w:hAnsi="宋体"/>
          <w:sz w:val="32"/>
          <w:szCs w:val="32"/>
        </w:rPr>
      </w:pPr>
    </w:p>
    <w:p w:rsidR="0089074A" w:rsidRDefault="00185114">
      <w:pPr>
        <w:adjustRightInd w:val="0"/>
        <w:spacing w:line="360" w:lineRule="auto"/>
        <w:jc w:val="center"/>
        <w:rPr>
          <w:rStyle w:val="af0"/>
          <w:rFonts w:ascii="黑体" w:eastAsia="黑体" w:hAnsi="黑体"/>
          <w:sz w:val="44"/>
          <w:szCs w:val="44"/>
        </w:rPr>
      </w:pPr>
      <w:r>
        <w:rPr>
          <w:rStyle w:val="af0"/>
          <w:rFonts w:ascii="黑体" w:eastAsia="黑体" w:hAnsi="黑体" w:hint="eastAsia"/>
          <w:sz w:val="44"/>
          <w:szCs w:val="44"/>
        </w:rPr>
        <w:t>兴银理财</w:t>
      </w:r>
      <w:permStart w:id="974680299" w:edGrp="everyone"/>
      <w:r>
        <w:rPr>
          <w:rStyle w:val="af0"/>
          <w:rFonts w:ascii="黑体" w:eastAsia="黑体" w:hAnsi="黑体" w:hint="eastAsia"/>
          <w:sz w:val="44"/>
          <w:szCs w:val="44"/>
        </w:rPr>
        <w:t>【稳添利日盈日开固收类】</w:t>
      </w:r>
      <w:permEnd w:id="974680299"/>
      <w:r>
        <w:rPr>
          <w:rStyle w:val="af0"/>
          <w:rFonts w:ascii="黑体" w:eastAsia="黑体" w:hAnsi="黑体" w:hint="eastAsia"/>
          <w:sz w:val="44"/>
          <w:szCs w:val="44"/>
        </w:rPr>
        <w:t>理财产品</w:t>
      </w:r>
    </w:p>
    <w:p w:rsidR="0089074A" w:rsidRDefault="00185114">
      <w:pPr>
        <w:adjustRightInd w:val="0"/>
        <w:spacing w:line="360" w:lineRule="auto"/>
        <w:jc w:val="center"/>
        <w:rPr>
          <w:rStyle w:val="af0"/>
          <w:rFonts w:ascii="黑体" w:eastAsia="黑体" w:hAnsi="黑体"/>
          <w:sz w:val="44"/>
          <w:szCs w:val="44"/>
        </w:rPr>
      </w:pPr>
      <w:r>
        <w:rPr>
          <w:rStyle w:val="af0"/>
          <w:rFonts w:ascii="黑体" w:eastAsia="黑体" w:hAnsi="黑体" w:hint="eastAsia"/>
          <w:sz w:val="44"/>
          <w:szCs w:val="44"/>
        </w:rPr>
        <w:t>产品说明书</w:t>
      </w:r>
    </w:p>
    <w:p w:rsidR="0089074A" w:rsidRDefault="0089074A">
      <w:pPr>
        <w:adjustRightInd w:val="0"/>
        <w:spacing w:line="360" w:lineRule="auto"/>
        <w:jc w:val="center"/>
        <w:rPr>
          <w:rStyle w:val="af0"/>
          <w:rFonts w:ascii="宋体" w:hAnsi="宋体"/>
          <w:sz w:val="32"/>
          <w:szCs w:val="32"/>
        </w:rPr>
      </w:pPr>
    </w:p>
    <w:p w:rsidR="0089074A" w:rsidRDefault="0089074A">
      <w:pPr>
        <w:adjustRightInd w:val="0"/>
        <w:spacing w:line="360" w:lineRule="auto"/>
        <w:rPr>
          <w:rStyle w:val="af0"/>
          <w:rFonts w:ascii="黑体" w:eastAsia="黑体" w:hAnsi="黑体"/>
          <w:bCs w:val="0"/>
          <w:sz w:val="28"/>
          <w:szCs w:val="28"/>
        </w:rPr>
      </w:pPr>
    </w:p>
    <w:p w:rsidR="0089074A" w:rsidRDefault="0089074A">
      <w:pPr>
        <w:adjustRightInd w:val="0"/>
        <w:spacing w:line="360" w:lineRule="auto"/>
        <w:jc w:val="center"/>
        <w:rPr>
          <w:rStyle w:val="af0"/>
          <w:rFonts w:ascii="黑体" w:eastAsia="黑体" w:hAnsi="黑体"/>
          <w:bCs w:val="0"/>
          <w:sz w:val="28"/>
          <w:szCs w:val="28"/>
        </w:rPr>
      </w:pPr>
    </w:p>
    <w:p w:rsidR="0089074A" w:rsidRDefault="0089074A">
      <w:pPr>
        <w:adjustRightInd w:val="0"/>
        <w:spacing w:line="360" w:lineRule="auto"/>
        <w:jc w:val="center"/>
        <w:rPr>
          <w:rStyle w:val="af0"/>
          <w:rFonts w:ascii="黑体" w:eastAsia="黑体" w:hAnsi="黑体"/>
          <w:bCs w:val="0"/>
          <w:sz w:val="28"/>
          <w:szCs w:val="28"/>
        </w:rPr>
      </w:pPr>
    </w:p>
    <w:p w:rsidR="0089074A" w:rsidRDefault="00185114">
      <w:pPr>
        <w:adjustRightInd w:val="0"/>
        <w:spacing w:line="360" w:lineRule="auto"/>
        <w:jc w:val="center"/>
        <w:rPr>
          <w:rStyle w:val="af0"/>
          <w:rFonts w:ascii="宋体" w:hAnsi="宋体" w:cs="Times New Roman"/>
          <w:sz w:val="32"/>
          <w:szCs w:val="32"/>
        </w:rPr>
      </w:pPr>
      <w:r>
        <w:rPr>
          <w:rStyle w:val="af0"/>
          <w:rFonts w:ascii="宋体" w:hAnsi="宋体" w:cs="Times New Roman" w:hint="eastAsia"/>
          <w:sz w:val="32"/>
          <w:szCs w:val="32"/>
        </w:rPr>
        <w:t>理财产品管理人：兴银理财有限责任公司</w:t>
      </w:r>
    </w:p>
    <w:p w:rsidR="0089074A" w:rsidRDefault="0089074A">
      <w:pPr>
        <w:adjustRightInd w:val="0"/>
        <w:spacing w:line="360" w:lineRule="auto"/>
        <w:jc w:val="center"/>
        <w:rPr>
          <w:rStyle w:val="af0"/>
          <w:rFonts w:ascii="宋体" w:hAnsi="宋体"/>
          <w:sz w:val="32"/>
          <w:szCs w:val="32"/>
        </w:rPr>
      </w:pPr>
    </w:p>
    <w:p w:rsidR="0089074A" w:rsidRDefault="0089074A">
      <w:pPr>
        <w:adjustRightInd w:val="0"/>
        <w:spacing w:line="360" w:lineRule="auto"/>
        <w:jc w:val="center"/>
        <w:rPr>
          <w:rStyle w:val="af0"/>
          <w:rFonts w:ascii="宋体" w:hAnsi="宋体"/>
          <w:sz w:val="32"/>
          <w:szCs w:val="32"/>
        </w:rPr>
      </w:pPr>
    </w:p>
    <w:p w:rsidR="0089074A" w:rsidRDefault="00185114">
      <w:pPr>
        <w:adjustRightInd w:val="0"/>
        <w:spacing w:line="360" w:lineRule="auto"/>
        <w:jc w:val="center"/>
        <w:rPr>
          <w:rStyle w:val="af0"/>
          <w:rFonts w:ascii="宋体" w:hAnsi="宋体" w:cs="Times New Roman"/>
          <w:sz w:val="32"/>
          <w:szCs w:val="32"/>
        </w:rPr>
      </w:pPr>
      <w:r>
        <w:rPr>
          <w:rStyle w:val="af0"/>
          <w:rFonts w:ascii="宋体" w:hAnsi="宋体" w:cs="Times New Roman" w:hint="eastAsia"/>
          <w:sz w:val="32"/>
          <w:szCs w:val="32"/>
        </w:rPr>
        <w:t>日期</w:t>
      </w:r>
      <w:r>
        <w:rPr>
          <w:rStyle w:val="af0"/>
          <w:rFonts w:ascii="宋体" w:hAnsi="宋体" w:cs="Times New Roman"/>
          <w:sz w:val="32"/>
          <w:szCs w:val="32"/>
        </w:rPr>
        <w:t>：</w:t>
      </w:r>
      <w:permStart w:id="2002090408" w:edGrp="everyone"/>
      <w:r>
        <w:rPr>
          <w:rStyle w:val="af0"/>
          <w:rFonts w:ascii="宋体" w:hAnsi="宋体" w:cs="Times New Roman" w:hint="eastAsia"/>
          <w:sz w:val="32"/>
          <w:szCs w:val="32"/>
        </w:rPr>
        <w:t>【</w:t>
      </w:r>
      <w:r>
        <w:rPr>
          <w:rStyle w:val="af0"/>
          <w:rFonts w:ascii="宋体" w:hAnsi="宋体" w:cs="Times New Roman"/>
          <w:sz w:val="32"/>
          <w:szCs w:val="32"/>
        </w:rPr>
        <w:t>202</w:t>
      </w:r>
      <w:r>
        <w:rPr>
          <w:rStyle w:val="af0"/>
          <w:rFonts w:ascii="宋体" w:hAnsi="宋体" w:cs="Times New Roman" w:hint="eastAsia"/>
          <w:sz w:val="32"/>
          <w:szCs w:val="32"/>
        </w:rPr>
        <w:t>4】年【0</w:t>
      </w:r>
      <w:r w:rsidR="00604DB0">
        <w:rPr>
          <w:rStyle w:val="af0"/>
          <w:rFonts w:ascii="宋体" w:hAnsi="宋体" w:cs="Times New Roman"/>
          <w:sz w:val="32"/>
          <w:szCs w:val="32"/>
        </w:rPr>
        <w:t>7</w:t>
      </w:r>
      <w:bookmarkStart w:id="0" w:name="_GoBack"/>
      <w:bookmarkEnd w:id="0"/>
      <w:r>
        <w:rPr>
          <w:rStyle w:val="af0"/>
          <w:rFonts w:ascii="宋体" w:hAnsi="宋体" w:cs="Times New Roman" w:hint="eastAsia"/>
          <w:sz w:val="32"/>
          <w:szCs w:val="32"/>
        </w:rPr>
        <w:t>】月</w:t>
      </w:r>
      <w:permEnd w:id="2002090408"/>
    </w:p>
    <w:p w:rsidR="0089074A" w:rsidRDefault="00185114">
      <w:pPr>
        <w:rPr>
          <w:rStyle w:val="af0"/>
          <w:rFonts w:ascii="宋体" w:hAnsi="宋体"/>
          <w:sz w:val="32"/>
          <w:szCs w:val="32"/>
        </w:rPr>
      </w:pPr>
      <w:r>
        <w:rPr>
          <w:rStyle w:val="af0"/>
          <w:rFonts w:ascii="宋体" w:hAnsi="宋体"/>
          <w:sz w:val="32"/>
          <w:szCs w:val="32"/>
        </w:rPr>
        <w:br w:type="page"/>
      </w:r>
    </w:p>
    <w:bookmarkStart w:id="1" w:name="_Toc78276587" w:displacedByCustomXml="next"/>
    <w:sdt>
      <w:sdtPr>
        <w:rPr>
          <w:rFonts w:ascii="Calibri" w:eastAsia="宋体" w:hAnsi="Calibri" w:cs="宋体"/>
          <w:b w:val="0"/>
          <w:bCs w:val="0"/>
          <w:color w:val="auto"/>
          <w:kern w:val="2"/>
          <w:sz w:val="21"/>
          <w:szCs w:val="22"/>
          <w:lang w:val="zh-CN"/>
        </w:rPr>
        <w:id w:val="624888713"/>
        <w:docPartObj>
          <w:docPartGallery w:val="Table of Contents"/>
          <w:docPartUnique/>
        </w:docPartObj>
      </w:sdtPr>
      <w:sdtEndPr>
        <w:rPr>
          <w:lang w:val="en-US"/>
        </w:rPr>
      </w:sdtEndPr>
      <w:sdtContent>
        <w:p w:rsidR="0089074A" w:rsidRDefault="00185114">
          <w:pPr>
            <w:pStyle w:val="TOC2"/>
            <w:spacing w:line="360" w:lineRule="auto"/>
            <w:jc w:val="center"/>
          </w:pPr>
          <w:r>
            <w:rPr>
              <w:lang w:val="zh-CN"/>
            </w:rPr>
            <w:t>目录</w:t>
          </w:r>
        </w:p>
        <w:p w:rsidR="0089074A" w:rsidRDefault="00185114">
          <w:pPr>
            <w:pStyle w:val="10"/>
            <w:tabs>
              <w:tab w:val="right" w:leader="dot" w:pos="8306"/>
            </w:tabs>
          </w:pPr>
          <w:r>
            <w:fldChar w:fldCharType="begin"/>
          </w:r>
          <w:r>
            <w:instrText xml:space="preserve"> TOC \o "1-3" \h \z \u </w:instrText>
          </w:r>
          <w:r>
            <w:fldChar w:fldCharType="separate"/>
          </w:r>
          <w:hyperlink w:anchor="_Toc15989" w:history="1">
            <w:r>
              <w:rPr>
                <w:rFonts w:ascii="Times New Roman"/>
              </w:rPr>
              <w:t>第</w:t>
            </w:r>
            <w:r>
              <w:rPr>
                <w:rFonts w:ascii="Times New Roman" w:hint="eastAsia"/>
              </w:rPr>
              <w:t>一条</w:t>
            </w:r>
            <w:r>
              <w:rPr>
                <w:rFonts w:ascii="Times New Roman" w:hint="eastAsia"/>
              </w:rPr>
              <w:t xml:space="preserve"> </w:t>
            </w:r>
            <w:r>
              <w:rPr>
                <w:rFonts w:ascii="Times New Roman"/>
              </w:rPr>
              <w:t xml:space="preserve"> </w:t>
            </w:r>
            <w:r>
              <w:rPr>
                <w:rFonts w:ascii="Times New Roman"/>
              </w:rPr>
              <w:t>释义</w:t>
            </w:r>
            <w:r>
              <w:tab/>
            </w:r>
            <w:r>
              <w:fldChar w:fldCharType="begin"/>
            </w:r>
            <w:r>
              <w:instrText xml:space="preserve"> PAGEREF _Toc15989 \h </w:instrText>
            </w:r>
            <w:r>
              <w:fldChar w:fldCharType="separate"/>
            </w:r>
            <w:r>
              <w:t>3</w:t>
            </w:r>
            <w:r>
              <w:fldChar w:fldCharType="end"/>
            </w:r>
          </w:hyperlink>
        </w:p>
        <w:p w:rsidR="0089074A" w:rsidRDefault="005D339F">
          <w:pPr>
            <w:pStyle w:val="10"/>
            <w:tabs>
              <w:tab w:val="right" w:leader="dot" w:pos="8306"/>
            </w:tabs>
          </w:pPr>
          <w:hyperlink w:anchor="_Toc3887" w:history="1">
            <w:r w:rsidR="00185114">
              <w:rPr>
                <w:rFonts w:hAnsi="宋体" w:hint="eastAsia"/>
                <w:szCs w:val="28"/>
              </w:rPr>
              <w:t>第二条</w:t>
            </w:r>
            <w:r w:rsidR="00185114">
              <w:rPr>
                <w:rFonts w:hAnsi="宋体" w:hint="eastAsia"/>
                <w:szCs w:val="28"/>
              </w:rPr>
              <w:t xml:space="preserve">  </w:t>
            </w:r>
            <w:r w:rsidR="00185114">
              <w:rPr>
                <w:rFonts w:hAnsi="宋体" w:hint="eastAsia"/>
                <w:szCs w:val="28"/>
              </w:rPr>
              <w:t>理财产品基本情况</w:t>
            </w:r>
            <w:r w:rsidR="00185114">
              <w:tab/>
            </w:r>
            <w:r w:rsidR="00185114">
              <w:fldChar w:fldCharType="begin"/>
            </w:r>
            <w:r w:rsidR="00185114">
              <w:instrText xml:space="preserve"> PAGEREF _Toc3887 \h </w:instrText>
            </w:r>
            <w:r w:rsidR="00185114">
              <w:fldChar w:fldCharType="separate"/>
            </w:r>
            <w:r w:rsidR="00185114">
              <w:t>8</w:t>
            </w:r>
            <w:r w:rsidR="00185114">
              <w:fldChar w:fldCharType="end"/>
            </w:r>
          </w:hyperlink>
        </w:p>
        <w:p w:rsidR="0089074A" w:rsidRDefault="005D339F">
          <w:pPr>
            <w:pStyle w:val="10"/>
            <w:tabs>
              <w:tab w:val="right" w:leader="dot" w:pos="8306"/>
            </w:tabs>
          </w:pPr>
          <w:hyperlink w:anchor="_Toc22117" w:history="1">
            <w:r w:rsidR="00185114">
              <w:rPr>
                <w:rFonts w:ascii="Times New Roman"/>
              </w:rPr>
              <w:t>第</w:t>
            </w:r>
            <w:r w:rsidR="00185114">
              <w:rPr>
                <w:rFonts w:ascii="Times New Roman" w:hint="eastAsia"/>
              </w:rPr>
              <w:t>三条</w:t>
            </w:r>
            <w:r w:rsidR="00185114">
              <w:rPr>
                <w:rFonts w:ascii="Times New Roman"/>
              </w:rPr>
              <w:t xml:space="preserve">  </w:t>
            </w:r>
            <w:r w:rsidR="00185114">
              <w:rPr>
                <w:rFonts w:ascii="Times New Roman" w:hint="eastAsia"/>
              </w:rPr>
              <w:t>理财产品的认购</w:t>
            </w:r>
            <w:r w:rsidR="00185114">
              <w:tab/>
            </w:r>
            <w:r w:rsidR="00185114">
              <w:fldChar w:fldCharType="begin"/>
            </w:r>
            <w:r w:rsidR="00185114">
              <w:instrText xml:space="preserve"> PAGEREF _Toc22117 \h </w:instrText>
            </w:r>
            <w:r w:rsidR="00185114">
              <w:fldChar w:fldCharType="separate"/>
            </w:r>
            <w:r w:rsidR="00185114">
              <w:t>14</w:t>
            </w:r>
            <w:r w:rsidR="00185114">
              <w:fldChar w:fldCharType="end"/>
            </w:r>
          </w:hyperlink>
        </w:p>
        <w:p w:rsidR="0089074A" w:rsidRDefault="005D339F">
          <w:pPr>
            <w:pStyle w:val="10"/>
            <w:tabs>
              <w:tab w:val="right" w:leader="dot" w:pos="8306"/>
            </w:tabs>
          </w:pPr>
          <w:hyperlink w:anchor="_Toc27778" w:history="1">
            <w:r w:rsidR="00185114">
              <w:rPr>
                <w:rFonts w:ascii="Times New Roman" w:hint="eastAsia"/>
              </w:rPr>
              <w:t>第四条</w:t>
            </w:r>
            <w:r w:rsidR="00185114">
              <w:rPr>
                <w:rFonts w:ascii="Times New Roman" w:hint="eastAsia"/>
              </w:rPr>
              <w:t xml:space="preserve"> </w:t>
            </w:r>
            <w:r w:rsidR="00185114">
              <w:rPr>
                <w:rFonts w:ascii="Times New Roman"/>
              </w:rPr>
              <w:t xml:space="preserve"> </w:t>
            </w:r>
            <w:r w:rsidR="00185114">
              <w:rPr>
                <w:rFonts w:ascii="Times New Roman" w:hint="eastAsia"/>
              </w:rPr>
              <w:t>理财产品的申购与赎回</w:t>
            </w:r>
            <w:r w:rsidR="00185114">
              <w:tab/>
            </w:r>
            <w:r w:rsidR="00185114">
              <w:fldChar w:fldCharType="begin"/>
            </w:r>
            <w:r w:rsidR="00185114">
              <w:instrText xml:space="preserve"> PAGEREF _Toc27778 \h </w:instrText>
            </w:r>
            <w:r w:rsidR="00185114">
              <w:fldChar w:fldCharType="separate"/>
            </w:r>
            <w:r w:rsidR="00185114">
              <w:t>16</w:t>
            </w:r>
            <w:r w:rsidR="00185114">
              <w:fldChar w:fldCharType="end"/>
            </w:r>
          </w:hyperlink>
        </w:p>
        <w:p w:rsidR="0089074A" w:rsidRDefault="005D339F">
          <w:pPr>
            <w:pStyle w:val="10"/>
            <w:tabs>
              <w:tab w:val="right" w:leader="dot" w:pos="8306"/>
            </w:tabs>
          </w:pPr>
          <w:hyperlink w:anchor="_Toc24347" w:history="1">
            <w:r w:rsidR="00185114">
              <w:rPr>
                <w:rFonts w:ascii="Times New Roman"/>
              </w:rPr>
              <w:t>第</w:t>
            </w:r>
            <w:r w:rsidR="00185114">
              <w:rPr>
                <w:rFonts w:ascii="Times New Roman" w:hint="eastAsia"/>
              </w:rPr>
              <w:t>五条</w:t>
            </w:r>
            <w:r w:rsidR="00185114">
              <w:rPr>
                <w:rFonts w:ascii="Times New Roman"/>
              </w:rPr>
              <w:t xml:space="preserve">  </w:t>
            </w:r>
            <w:r w:rsidR="00185114">
              <w:rPr>
                <w:rFonts w:ascii="Times New Roman" w:hint="eastAsia"/>
              </w:rPr>
              <w:t>理财产品的投资</w:t>
            </w:r>
            <w:r w:rsidR="00185114">
              <w:tab/>
            </w:r>
            <w:r w:rsidR="00185114">
              <w:fldChar w:fldCharType="begin"/>
            </w:r>
            <w:r w:rsidR="00185114">
              <w:instrText xml:space="preserve"> PAGEREF _Toc24347 \h </w:instrText>
            </w:r>
            <w:r w:rsidR="00185114">
              <w:fldChar w:fldCharType="separate"/>
            </w:r>
            <w:r w:rsidR="00185114">
              <w:t>20</w:t>
            </w:r>
            <w:r w:rsidR="00185114">
              <w:fldChar w:fldCharType="end"/>
            </w:r>
          </w:hyperlink>
        </w:p>
        <w:p w:rsidR="0089074A" w:rsidRDefault="005D339F">
          <w:pPr>
            <w:pStyle w:val="10"/>
            <w:tabs>
              <w:tab w:val="right" w:leader="dot" w:pos="8306"/>
            </w:tabs>
          </w:pPr>
          <w:hyperlink w:anchor="_Toc16372" w:history="1">
            <w:r w:rsidR="00185114">
              <w:rPr>
                <w:rFonts w:ascii="Times New Roman"/>
              </w:rPr>
              <w:t>第</w:t>
            </w:r>
            <w:r w:rsidR="00185114">
              <w:rPr>
                <w:rFonts w:ascii="Times New Roman" w:hint="eastAsia"/>
              </w:rPr>
              <w:t>六条</w:t>
            </w:r>
            <w:r w:rsidR="00185114">
              <w:rPr>
                <w:rFonts w:ascii="Times New Roman"/>
              </w:rPr>
              <w:t xml:space="preserve">  </w:t>
            </w:r>
            <w:r w:rsidR="00185114">
              <w:rPr>
                <w:rFonts w:ascii="Times New Roman" w:hint="eastAsia"/>
              </w:rPr>
              <w:t>理财产品的资产</w:t>
            </w:r>
            <w:r w:rsidR="00185114">
              <w:tab/>
            </w:r>
            <w:r w:rsidR="00185114">
              <w:fldChar w:fldCharType="begin"/>
            </w:r>
            <w:r w:rsidR="00185114">
              <w:instrText xml:space="preserve"> PAGEREF _Toc16372 \h </w:instrText>
            </w:r>
            <w:r w:rsidR="00185114">
              <w:fldChar w:fldCharType="separate"/>
            </w:r>
            <w:r w:rsidR="00185114">
              <w:t>23</w:t>
            </w:r>
            <w:r w:rsidR="00185114">
              <w:fldChar w:fldCharType="end"/>
            </w:r>
          </w:hyperlink>
        </w:p>
        <w:p w:rsidR="0089074A" w:rsidRDefault="005D339F">
          <w:pPr>
            <w:pStyle w:val="10"/>
            <w:tabs>
              <w:tab w:val="right" w:leader="dot" w:pos="8306"/>
            </w:tabs>
          </w:pPr>
          <w:hyperlink w:anchor="_Toc11569" w:history="1">
            <w:r w:rsidR="00185114">
              <w:rPr>
                <w:rFonts w:ascii="Times New Roman" w:hint="eastAsia"/>
                <w:szCs w:val="28"/>
              </w:rPr>
              <w:t>第七条</w:t>
            </w:r>
            <w:r w:rsidR="00185114">
              <w:rPr>
                <w:rFonts w:ascii="Times New Roman"/>
                <w:szCs w:val="28"/>
              </w:rPr>
              <w:t xml:space="preserve">  </w:t>
            </w:r>
            <w:r w:rsidR="00185114">
              <w:rPr>
                <w:rFonts w:ascii="Times New Roman" w:hint="eastAsia"/>
                <w:szCs w:val="28"/>
              </w:rPr>
              <w:t>理财产品项下资产的估值</w:t>
            </w:r>
            <w:r w:rsidR="00185114">
              <w:tab/>
            </w:r>
            <w:r w:rsidR="00185114">
              <w:fldChar w:fldCharType="begin"/>
            </w:r>
            <w:r w:rsidR="00185114">
              <w:instrText xml:space="preserve"> PAGEREF _Toc11569 \h </w:instrText>
            </w:r>
            <w:r w:rsidR="00185114">
              <w:fldChar w:fldCharType="separate"/>
            </w:r>
            <w:r w:rsidR="00185114">
              <w:t>24</w:t>
            </w:r>
            <w:r w:rsidR="00185114">
              <w:fldChar w:fldCharType="end"/>
            </w:r>
          </w:hyperlink>
        </w:p>
        <w:p w:rsidR="0089074A" w:rsidRDefault="005D339F">
          <w:pPr>
            <w:pStyle w:val="10"/>
            <w:tabs>
              <w:tab w:val="right" w:leader="dot" w:pos="8306"/>
            </w:tabs>
          </w:pPr>
          <w:hyperlink w:anchor="_Toc18706" w:history="1">
            <w:r w:rsidR="00185114">
              <w:rPr>
                <w:rFonts w:ascii="Times New Roman"/>
              </w:rPr>
              <w:t>第</w:t>
            </w:r>
            <w:r w:rsidR="00185114">
              <w:rPr>
                <w:rFonts w:ascii="Times New Roman" w:hint="eastAsia"/>
              </w:rPr>
              <w:t>八条</w:t>
            </w:r>
            <w:r w:rsidR="00185114">
              <w:rPr>
                <w:rFonts w:ascii="Times New Roman"/>
              </w:rPr>
              <w:t xml:space="preserve">  </w:t>
            </w:r>
            <w:r w:rsidR="00185114">
              <w:rPr>
                <w:rFonts w:ascii="Times New Roman" w:hint="eastAsia"/>
              </w:rPr>
              <w:t>理财产品的利益分配</w:t>
            </w:r>
            <w:r w:rsidR="00185114">
              <w:tab/>
            </w:r>
            <w:r w:rsidR="00185114">
              <w:fldChar w:fldCharType="begin"/>
            </w:r>
            <w:r w:rsidR="00185114">
              <w:instrText xml:space="preserve"> PAGEREF _Toc18706 \h </w:instrText>
            </w:r>
            <w:r w:rsidR="00185114">
              <w:fldChar w:fldCharType="separate"/>
            </w:r>
            <w:r w:rsidR="00185114">
              <w:t>28</w:t>
            </w:r>
            <w:r w:rsidR="00185114">
              <w:fldChar w:fldCharType="end"/>
            </w:r>
          </w:hyperlink>
        </w:p>
        <w:p w:rsidR="0089074A" w:rsidRDefault="005D339F">
          <w:pPr>
            <w:pStyle w:val="10"/>
            <w:tabs>
              <w:tab w:val="right" w:leader="dot" w:pos="8306"/>
            </w:tabs>
          </w:pPr>
          <w:hyperlink w:anchor="_Toc20951" w:history="1">
            <w:r w:rsidR="00185114">
              <w:rPr>
                <w:rFonts w:ascii="Times New Roman"/>
              </w:rPr>
              <w:t>第</w:t>
            </w:r>
            <w:r w:rsidR="00185114">
              <w:rPr>
                <w:rFonts w:ascii="Times New Roman" w:hint="eastAsia"/>
              </w:rPr>
              <w:t>九条</w:t>
            </w:r>
            <w:r w:rsidR="00185114">
              <w:rPr>
                <w:rFonts w:ascii="Times New Roman"/>
              </w:rPr>
              <w:t xml:space="preserve">  </w:t>
            </w:r>
            <w:r w:rsidR="00185114">
              <w:rPr>
                <w:rFonts w:ascii="Times New Roman" w:hint="eastAsia"/>
              </w:rPr>
              <w:t>理财产品的费用与税收</w:t>
            </w:r>
            <w:r w:rsidR="00185114">
              <w:tab/>
            </w:r>
            <w:r w:rsidR="00185114">
              <w:fldChar w:fldCharType="begin"/>
            </w:r>
            <w:r w:rsidR="00185114">
              <w:instrText xml:space="preserve"> PAGEREF _Toc20951 \h </w:instrText>
            </w:r>
            <w:r w:rsidR="00185114">
              <w:fldChar w:fldCharType="separate"/>
            </w:r>
            <w:r w:rsidR="00185114">
              <w:t>29</w:t>
            </w:r>
            <w:r w:rsidR="00185114">
              <w:fldChar w:fldCharType="end"/>
            </w:r>
          </w:hyperlink>
        </w:p>
        <w:p w:rsidR="0089074A" w:rsidRDefault="005D339F">
          <w:pPr>
            <w:pStyle w:val="10"/>
            <w:tabs>
              <w:tab w:val="right" w:leader="dot" w:pos="8306"/>
            </w:tabs>
          </w:pPr>
          <w:hyperlink w:anchor="_Toc19648" w:history="1">
            <w:r w:rsidR="00185114">
              <w:rPr>
                <w:rFonts w:hint="eastAsia"/>
              </w:rPr>
              <w:t>第十条</w:t>
            </w:r>
            <w:r w:rsidR="00185114">
              <w:t xml:space="preserve">  </w:t>
            </w:r>
            <w:r w:rsidR="00185114">
              <w:rPr>
                <w:rFonts w:hint="eastAsia"/>
              </w:rPr>
              <w:t>理财产品的终止与清算</w:t>
            </w:r>
            <w:r w:rsidR="00185114">
              <w:tab/>
            </w:r>
            <w:r w:rsidR="00185114">
              <w:fldChar w:fldCharType="begin"/>
            </w:r>
            <w:r w:rsidR="00185114">
              <w:instrText xml:space="preserve"> PAGEREF _Toc19648 \h </w:instrText>
            </w:r>
            <w:r w:rsidR="00185114">
              <w:fldChar w:fldCharType="separate"/>
            </w:r>
            <w:r w:rsidR="00185114">
              <w:t>31</w:t>
            </w:r>
            <w:r w:rsidR="00185114">
              <w:fldChar w:fldCharType="end"/>
            </w:r>
          </w:hyperlink>
        </w:p>
        <w:p w:rsidR="0089074A" w:rsidRDefault="005D339F">
          <w:pPr>
            <w:pStyle w:val="10"/>
            <w:tabs>
              <w:tab w:val="right" w:leader="dot" w:pos="8306"/>
            </w:tabs>
          </w:pPr>
          <w:hyperlink w:anchor="_Toc23820" w:history="1">
            <w:r w:rsidR="00185114">
              <w:rPr>
                <w:rFonts w:ascii="Times New Roman" w:hint="eastAsia"/>
                <w:szCs w:val="28"/>
              </w:rPr>
              <w:t>第十一条</w:t>
            </w:r>
            <w:r w:rsidR="00185114">
              <w:rPr>
                <w:rFonts w:ascii="Times New Roman"/>
                <w:szCs w:val="28"/>
              </w:rPr>
              <w:t xml:space="preserve">  </w:t>
            </w:r>
            <w:r w:rsidR="00185114">
              <w:rPr>
                <w:rFonts w:ascii="Times New Roman" w:hint="eastAsia"/>
                <w:szCs w:val="28"/>
              </w:rPr>
              <w:t>理财产品的信息披露</w:t>
            </w:r>
            <w:r w:rsidR="00185114">
              <w:tab/>
            </w:r>
            <w:r w:rsidR="00185114">
              <w:fldChar w:fldCharType="begin"/>
            </w:r>
            <w:r w:rsidR="00185114">
              <w:instrText xml:space="preserve"> PAGEREF _Toc23820 \h </w:instrText>
            </w:r>
            <w:r w:rsidR="00185114">
              <w:fldChar w:fldCharType="separate"/>
            </w:r>
            <w:r w:rsidR="00185114">
              <w:t>33</w:t>
            </w:r>
            <w:r w:rsidR="00185114">
              <w:fldChar w:fldCharType="end"/>
            </w:r>
          </w:hyperlink>
        </w:p>
        <w:p w:rsidR="0089074A" w:rsidRDefault="005D339F">
          <w:pPr>
            <w:pStyle w:val="10"/>
            <w:tabs>
              <w:tab w:val="right" w:leader="dot" w:pos="8306"/>
            </w:tabs>
          </w:pPr>
          <w:hyperlink w:anchor="_Toc9986" w:history="1">
            <w:r w:rsidR="00185114">
              <w:rPr>
                <w:rFonts w:ascii="Times New Roman" w:hint="eastAsia"/>
              </w:rPr>
              <w:t>第十二条</w:t>
            </w:r>
            <w:r w:rsidR="00185114">
              <w:rPr>
                <w:rFonts w:ascii="Times New Roman"/>
              </w:rPr>
              <w:t xml:space="preserve">  </w:t>
            </w:r>
            <w:r w:rsidR="00185114">
              <w:rPr>
                <w:rFonts w:ascii="Times New Roman" w:hint="eastAsia"/>
              </w:rPr>
              <w:t>理财产品</w:t>
            </w:r>
            <w:r w:rsidR="00185114">
              <w:rPr>
                <w:rFonts w:ascii="Times New Roman"/>
              </w:rPr>
              <w:t>的风险揭示</w:t>
            </w:r>
            <w:r w:rsidR="00185114">
              <w:tab/>
            </w:r>
            <w:r w:rsidR="00185114">
              <w:fldChar w:fldCharType="begin"/>
            </w:r>
            <w:r w:rsidR="00185114">
              <w:instrText xml:space="preserve"> PAGEREF _Toc9986 \h </w:instrText>
            </w:r>
            <w:r w:rsidR="00185114">
              <w:fldChar w:fldCharType="separate"/>
            </w:r>
            <w:r w:rsidR="00185114">
              <w:t>35</w:t>
            </w:r>
            <w:r w:rsidR="00185114">
              <w:fldChar w:fldCharType="end"/>
            </w:r>
          </w:hyperlink>
        </w:p>
        <w:p w:rsidR="0089074A" w:rsidRDefault="00185114">
          <w:pPr>
            <w:spacing w:line="360" w:lineRule="auto"/>
          </w:pPr>
          <w:r>
            <w:fldChar w:fldCharType="end"/>
          </w:r>
        </w:p>
      </w:sdtContent>
    </w:sdt>
    <w:p w:rsidR="0089074A" w:rsidRDefault="0089074A">
      <w:pPr>
        <w:rPr>
          <w:rFonts w:ascii="Times New Roman"/>
          <w:sz w:val="30"/>
        </w:rPr>
      </w:pPr>
    </w:p>
    <w:p w:rsidR="0089074A" w:rsidRDefault="00185114">
      <w:pPr>
        <w:rPr>
          <w:rFonts w:ascii="Times New Roman"/>
          <w:sz w:val="30"/>
        </w:rPr>
      </w:pPr>
      <w:r>
        <w:rPr>
          <w:rFonts w:ascii="Times New Roman"/>
          <w:sz w:val="30"/>
        </w:rPr>
        <w:br w:type="page"/>
      </w:r>
    </w:p>
    <w:p w:rsidR="0089074A" w:rsidRDefault="00185114">
      <w:pPr>
        <w:pStyle w:val="1"/>
        <w:spacing w:before="0" w:after="0" w:line="360" w:lineRule="auto"/>
        <w:jc w:val="center"/>
        <w:rPr>
          <w:rFonts w:ascii="Times New Roman"/>
          <w:sz w:val="30"/>
        </w:rPr>
      </w:pPr>
      <w:bookmarkStart w:id="2" w:name="_Toc103260528"/>
      <w:bookmarkStart w:id="3" w:name="_Toc15989"/>
      <w:bookmarkStart w:id="4" w:name="_Toc92377130"/>
      <w:r>
        <w:rPr>
          <w:rFonts w:ascii="Times New Roman"/>
          <w:sz w:val="30"/>
        </w:rPr>
        <w:lastRenderedPageBreak/>
        <w:t>第</w:t>
      </w:r>
      <w:r>
        <w:rPr>
          <w:rFonts w:ascii="Times New Roman" w:hint="eastAsia"/>
          <w:sz w:val="30"/>
        </w:rPr>
        <w:t>一条</w:t>
      </w:r>
      <w:r>
        <w:rPr>
          <w:rFonts w:ascii="Times New Roman" w:hint="eastAsia"/>
          <w:sz w:val="30"/>
        </w:rPr>
        <w:t xml:space="preserve"> </w:t>
      </w:r>
      <w:r>
        <w:rPr>
          <w:rFonts w:ascii="Times New Roman"/>
          <w:sz w:val="30"/>
        </w:rPr>
        <w:t xml:space="preserve"> </w:t>
      </w:r>
      <w:r>
        <w:rPr>
          <w:rFonts w:ascii="Times New Roman"/>
          <w:sz w:val="30"/>
        </w:rPr>
        <w:t>释义</w:t>
      </w:r>
      <w:bookmarkEnd w:id="1"/>
      <w:bookmarkEnd w:id="2"/>
      <w:bookmarkEnd w:id="3"/>
      <w:bookmarkEnd w:id="4"/>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（一）在本产品说明书中，除非上下文另有明确约定，下列用词</w:t>
      </w:r>
      <w:r>
        <w:rPr>
          <w:rFonts w:asciiTheme="majorEastAsia" w:eastAsiaTheme="majorEastAsia" w:hAnsiTheme="majorEastAsia"/>
          <w:bCs/>
          <w:color w:val="auto"/>
          <w:sz w:val="18"/>
          <w:szCs w:val="18"/>
        </w:rPr>
        <w:t>或简称</w:t>
      </w:r>
      <w:r>
        <w:rPr>
          <w:rFonts w:asciiTheme="majorEastAsia" w:eastAsiaTheme="majorEastAsia" w:hAnsiTheme="majorEastAsia" w:hint="eastAsia"/>
          <w:bCs/>
          <w:color w:val="auto"/>
          <w:sz w:val="18"/>
          <w:szCs w:val="18"/>
        </w:rPr>
        <w:t>具有如下含义：</w:t>
      </w:r>
      <w:r>
        <w:rPr>
          <w:rFonts w:asciiTheme="majorEastAsia" w:eastAsiaTheme="majorEastAsia" w:hAnsiTheme="majorEastAsia"/>
          <w:bCs/>
          <w:color w:val="auto"/>
          <w:sz w:val="18"/>
          <w:szCs w:val="18"/>
        </w:rPr>
        <w:t xml:space="preserve"> </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1.</w:t>
      </w:r>
      <w:r>
        <w:rPr>
          <w:rFonts w:asciiTheme="majorEastAsia" w:eastAsiaTheme="majorEastAsia" w:hAnsiTheme="majorEastAsia" w:hint="eastAsia"/>
          <w:b/>
          <w:bCs/>
          <w:color w:val="auto"/>
          <w:sz w:val="18"/>
          <w:szCs w:val="18"/>
        </w:rPr>
        <w:t>参与主体用语</w:t>
      </w:r>
      <w:r>
        <w:rPr>
          <w:rFonts w:asciiTheme="majorEastAsia" w:eastAsiaTheme="majorEastAsia" w:hAnsiTheme="majorEastAsia"/>
          <w:b/>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黑体" w:eastAsia="黑体" w:hAnsi="黑体" w:cs="仿宋_GB2312" w:hint="eastAsia"/>
          <w:bCs/>
          <w:color w:val="auto"/>
          <w:sz w:val="18"/>
          <w:szCs w:val="18"/>
        </w:rPr>
        <w:t>★</w:t>
      </w:r>
      <w:r>
        <w:rPr>
          <w:rFonts w:ascii="黑体" w:eastAsia="黑体" w:hAnsi="黑体" w:hint="eastAsia"/>
          <w:bCs/>
          <w:color w:val="auto"/>
          <w:sz w:val="18"/>
          <w:szCs w:val="18"/>
        </w:rPr>
        <w:t>管理人</w:t>
      </w:r>
      <w:r>
        <w:rPr>
          <w:rFonts w:ascii="黑体" w:eastAsia="黑体" w:hAnsi="黑体"/>
          <w:bCs/>
          <w:color w:val="auto"/>
          <w:sz w:val="18"/>
          <w:szCs w:val="18"/>
        </w:rPr>
        <w:t>/</w:t>
      </w:r>
      <w:r>
        <w:rPr>
          <w:rFonts w:ascii="黑体" w:eastAsia="黑体" w:hAnsi="黑体" w:hint="eastAsia"/>
          <w:bCs/>
          <w:color w:val="auto"/>
          <w:sz w:val="18"/>
          <w:szCs w:val="18"/>
        </w:rPr>
        <w:t>产品管理人/理财产品</w:t>
      </w:r>
      <w:r>
        <w:rPr>
          <w:rFonts w:ascii="黑体" w:eastAsia="黑体" w:hAnsi="黑体"/>
          <w:bCs/>
          <w:color w:val="auto"/>
          <w:sz w:val="18"/>
          <w:szCs w:val="18"/>
        </w:rPr>
        <w:t>管理人</w:t>
      </w:r>
      <w:r>
        <w:rPr>
          <w:rFonts w:ascii="黑体" w:eastAsia="黑体" w:hAnsi="黑体" w:hint="eastAsia"/>
          <w:bCs/>
          <w:color w:val="auto"/>
          <w:sz w:val="18"/>
          <w:szCs w:val="18"/>
        </w:rPr>
        <w:t>：指兴银理财有限责任公司（以下简称</w:t>
      </w:r>
      <w:r>
        <w:rPr>
          <w:rFonts w:ascii="黑体" w:eastAsia="黑体" w:hAnsi="黑体"/>
          <w:bCs/>
          <w:color w:val="auto"/>
          <w:sz w:val="18"/>
          <w:szCs w:val="18"/>
        </w:rPr>
        <w:t>“</w:t>
      </w:r>
      <w:r>
        <w:rPr>
          <w:rFonts w:ascii="黑体" w:eastAsia="黑体" w:hAnsi="黑体" w:hint="eastAsia"/>
          <w:bCs/>
          <w:color w:val="auto"/>
          <w:sz w:val="18"/>
          <w:szCs w:val="18"/>
        </w:rPr>
        <w:t>兴银理财</w:t>
      </w:r>
      <w:r>
        <w:rPr>
          <w:rFonts w:ascii="黑体" w:eastAsia="黑体" w:hAnsi="黑体"/>
          <w:bCs/>
          <w:color w:val="auto"/>
          <w:sz w:val="18"/>
          <w:szCs w:val="18"/>
        </w:rPr>
        <w:t>”</w:t>
      </w:r>
      <w:r>
        <w:rPr>
          <w:rFonts w:ascii="黑体" w:eastAsia="黑体" w:hAnsi="黑体" w:hint="eastAsia"/>
          <w:bCs/>
          <w:color w:val="auto"/>
          <w:sz w:val="18"/>
          <w:szCs w:val="18"/>
        </w:rPr>
        <w:t>）。</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2）</w:t>
      </w:r>
      <w:r>
        <w:rPr>
          <w:rFonts w:asciiTheme="majorEastAsia" w:eastAsiaTheme="majorEastAsia" w:hAnsiTheme="majorEastAsia" w:hint="eastAsia"/>
          <w:bCs/>
          <w:color w:val="auto"/>
          <w:sz w:val="18"/>
          <w:szCs w:val="18"/>
        </w:rPr>
        <w:t>托管人</w:t>
      </w:r>
      <w:r>
        <w:rPr>
          <w:rFonts w:asciiTheme="majorEastAsia" w:eastAsiaTheme="majorEastAsia" w:hAnsiTheme="majorEastAsia"/>
          <w:bCs/>
          <w:color w:val="auto"/>
          <w:sz w:val="18"/>
          <w:szCs w:val="18"/>
        </w:rPr>
        <w:t>/产品</w:t>
      </w:r>
      <w:r>
        <w:rPr>
          <w:rFonts w:asciiTheme="majorEastAsia" w:eastAsiaTheme="majorEastAsia" w:hAnsiTheme="majorEastAsia" w:hint="eastAsia"/>
          <w:bCs/>
          <w:color w:val="auto"/>
          <w:sz w:val="18"/>
          <w:szCs w:val="18"/>
        </w:rPr>
        <w:t>托管人/理财产品</w:t>
      </w:r>
      <w:r>
        <w:rPr>
          <w:rFonts w:asciiTheme="majorEastAsia" w:eastAsiaTheme="majorEastAsia" w:hAnsiTheme="majorEastAsia"/>
          <w:bCs/>
          <w:color w:val="auto"/>
          <w:sz w:val="18"/>
          <w:szCs w:val="18"/>
        </w:rPr>
        <w:t>托管人</w:t>
      </w:r>
      <w:r>
        <w:rPr>
          <w:rFonts w:asciiTheme="majorEastAsia" w:eastAsiaTheme="majorEastAsia" w:hAnsiTheme="majorEastAsia" w:hint="eastAsia"/>
          <w:bCs/>
          <w:color w:val="auto"/>
          <w:sz w:val="18"/>
          <w:szCs w:val="18"/>
        </w:rPr>
        <w:t>：</w:t>
      </w:r>
      <w:permStart w:id="1625313320" w:edGrp="everyone"/>
      <w:r>
        <w:rPr>
          <w:rFonts w:asciiTheme="majorEastAsia" w:eastAsiaTheme="majorEastAsia" w:hAnsiTheme="majorEastAsia" w:hint="eastAsia"/>
          <w:bCs/>
          <w:color w:val="auto"/>
          <w:sz w:val="18"/>
          <w:szCs w:val="18"/>
        </w:rPr>
        <w:t>指兴业银行股份有限公司（以下简称</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兴业银行</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）。兴业银行成立于</w:t>
      </w:r>
      <w:r>
        <w:rPr>
          <w:rFonts w:asciiTheme="majorEastAsia" w:eastAsiaTheme="majorEastAsia" w:hAnsiTheme="majorEastAsia"/>
          <w:bCs/>
          <w:color w:val="auto"/>
          <w:sz w:val="18"/>
          <w:szCs w:val="18"/>
        </w:rPr>
        <w:t>1988年，于2005年开展资产托管业务，具备理财产品托管资格。</w:t>
      </w:r>
      <w:r>
        <w:rPr>
          <w:rFonts w:asciiTheme="majorEastAsia" w:eastAsiaTheme="majorEastAsia" w:hAnsiTheme="majorEastAsia" w:hint="eastAsia"/>
          <w:bCs/>
          <w:color w:val="auto"/>
          <w:sz w:val="18"/>
          <w:szCs w:val="18"/>
        </w:rPr>
        <w:t>托管人负责履行安全保管理财产品资金及其所投资的资产，办理清算、交割事宜，与管理人对账，监督理财产品投资运作等职责。</w:t>
      </w:r>
      <w:permEnd w:id="1625313320"/>
      <w:r>
        <w:rPr>
          <w:rFonts w:asciiTheme="majorEastAsia" w:eastAsiaTheme="majorEastAsia" w:hAnsiTheme="majorEastAsia"/>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（3）</w:t>
      </w:r>
      <w:r>
        <w:rPr>
          <w:rFonts w:ascii="黑体" w:eastAsia="黑体" w:hAnsi="黑体" w:hint="eastAsia"/>
          <w:bCs/>
          <w:color w:val="auto"/>
          <w:sz w:val="18"/>
          <w:szCs w:val="18"/>
        </w:rPr>
        <w:t>★销售机构：</w:t>
      </w:r>
      <w:r>
        <w:rPr>
          <w:rFonts w:asciiTheme="majorEastAsia" w:eastAsiaTheme="majorEastAsia" w:hAnsiTheme="majorEastAsia" w:hint="eastAsia"/>
          <w:bCs/>
          <w:sz w:val="18"/>
          <w:szCs w:val="18"/>
        </w:rPr>
        <w:t>指具备理财产品</w:t>
      </w:r>
      <w:r>
        <w:rPr>
          <w:rFonts w:asciiTheme="majorEastAsia" w:eastAsiaTheme="majorEastAsia" w:hAnsiTheme="majorEastAsia"/>
          <w:bCs/>
          <w:sz w:val="18"/>
          <w:szCs w:val="18"/>
        </w:rPr>
        <w:t>销售</w:t>
      </w:r>
      <w:r>
        <w:rPr>
          <w:rFonts w:asciiTheme="majorEastAsia" w:eastAsiaTheme="majorEastAsia" w:hAnsiTheme="majorEastAsia" w:hint="eastAsia"/>
          <w:bCs/>
          <w:sz w:val="18"/>
          <w:szCs w:val="18"/>
        </w:rPr>
        <w:t>资格</w:t>
      </w:r>
      <w:r>
        <w:rPr>
          <w:rFonts w:asciiTheme="majorEastAsia" w:eastAsiaTheme="majorEastAsia" w:hAnsiTheme="majorEastAsia"/>
          <w:bCs/>
          <w:sz w:val="18"/>
          <w:szCs w:val="18"/>
        </w:rPr>
        <w:t>的</w:t>
      </w:r>
      <w:r>
        <w:rPr>
          <w:rFonts w:asciiTheme="majorEastAsia" w:eastAsiaTheme="majorEastAsia" w:hAnsiTheme="majorEastAsia" w:hint="eastAsia"/>
          <w:bCs/>
          <w:sz w:val="18"/>
          <w:szCs w:val="18"/>
        </w:rPr>
        <w:t>机构。按是否销售本公司发行的理财产品，销售机构可分为</w:t>
      </w:r>
      <w:r>
        <w:rPr>
          <w:rFonts w:asciiTheme="majorEastAsia" w:eastAsiaTheme="majorEastAsia" w:hAnsiTheme="majorEastAsia" w:hint="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color w:val="auto"/>
          <w:sz w:val="18"/>
          <w:szCs w:val="18"/>
        </w:rPr>
        <w:t>“销售”是指面向投资者开展的以下部分或全部业务活动：</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）以展示、介绍、比较单只或多只理财产品部分或全部特征信息并直接或间接提供认购、申购、赎回服务等方式宣传推介理财产品；</w:t>
      </w:r>
      <w:r>
        <w:rPr>
          <w:rFonts w:asciiTheme="majorEastAsia" w:eastAsiaTheme="majorEastAsia" w:hAnsiTheme="majorEastAsia"/>
          <w:bCs/>
          <w:color w:val="auto"/>
          <w:sz w:val="18"/>
          <w:szCs w:val="18"/>
        </w:rPr>
        <w:t>2）提供单只或多只理财产品投资建议；3）为投资者办理理财产品认购、申购和赎回；4）</w:t>
      </w:r>
      <w:r>
        <w:rPr>
          <w:rFonts w:asciiTheme="majorEastAsia" w:eastAsiaTheme="majorEastAsia" w:hAnsiTheme="majorEastAsia" w:hint="eastAsia"/>
          <w:bCs/>
          <w:color w:val="auto"/>
          <w:sz w:val="18"/>
          <w:szCs w:val="18"/>
        </w:rPr>
        <w:t>监管部门</w:t>
      </w:r>
      <w:r>
        <w:rPr>
          <w:rFonts w:asciiTheme="majorEastAsia" w:eastAsiaTheme="majorEastAsia" w:hAnsiTheme="majorEastAsia"/>
          <w:bCs/>
          <w:color w:val="auto"/>
          <w:sz w:val="18"/>
          <w:szCs w:val="18"/>
        </w:rPr>
        <w:t>认定的其他业务活动。各</w:t>
      </w:r>
      <w:r>
        <w:rPr>
          <w:rFonts w:asciiTheme="majorEastAsia" w:eastAsiaTheme="majorEastAsia" w:hAnsiTheme="majorEastAsia" w:hint="eastAsia"/>
          <w:bCs/>
          <w:color w:val="auto"/>
          <w:sz w:val="18"/>
          <w:szCs w:val="18"/>
        </w:rPr>
        <w:t>销售机构的具体名单见产品管理人届时发布的相关公告及相关《（代理）销售协议书》中的约定。</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4）</w:t>
      </w:r>
      <w:r>
        <w:rPr>
          <w:rFonts w:asciiTheme="majorEastAsia" w:eastAsiaTheme="majorEastAsia" w:hAnsiTheme="majorEastAsia" w:hint="eastAsia"/>
          <w:bCs/>
          <w:sz w:val="18"/>
          <w:szCs w:val="18"/>
        </w:rPr>
        <w:t>投资者：指符合相关法律法规、监管规定要求的，可以购买理财产品份额的自然人和法人。</w:t>
      </w:r>
      <w:r>
        <w:rPr>
          <w:rFonts w:asciiTheme="majorEastAsia" w:eastAsiaTheme="majorEastAsia" w:hAnsiTheme="majorEastAsia"/>
          <w:bCs/>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（5）合格投资者：合格投资者是指具备相应风险识别能力和风险承受能力，投资于单只理财产品不低于一定金额且符合下列条件的自然人、法人或者依法成立的其他组织：</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w:t>
      </w:r>
      <w:r>
        <w:rPr>
          <w:rFonts w:asciiTheme="majorEastAsia" w:eastAsiaTheme="majorEastAsia" w:hAnsiTheme="majorEastAsia" w:hint="eastAsia"/>
          <w:bCs/>
          <w:sz w:val="18"/>
          <w:szCs w:val="18"/>
        </w:rPr>
        <w:t>具有</w:t>
      </w:r>
      <w:r>
        <w:rPr>
          <w:rFonts w:asciiTheme="majorEastAsia" w:eastAsiaTheme="majorEastAsia" w:hAnsiTheme="majorEastAsia"/>
          <w:bCs/>
          <w:sz w:val="18"/>
          <w:szCs w:val="18"/>
        </w:rPr>
        <w:t>2年以上投资经历，且满足家庭金融净资产不低于300万元人民币，或者家庭金融资产不低于500万元人民币，或者近3年本人年均收入不低于40万元人民币；</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2）最近</w:t>
      </w:r>
      <w:r>
        <w:rPr>
          <w:rFonts w:asciiTheme="majorEastAsia" w:eastAsiaTheme="majorEastAsia" w:hAnsiTheme="majorEastAsia"/>
          <w:bCs/>
          <w:sz w:val="18"/>
          <w:szCs w:val="18"/>
        </w:rPr>
        <w:t>1年末净资产不低于1000万元人民币的法人或者依法成立的其他组织；</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3）国务院银行业监督管理机构规定的其他情形。</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（6）全国银行业理财信息登记系统：指供商业银行及商业银行理财公司进行理财产品电子化报告和信息登记的电子信息系统。</w:t>
      </w:r>
    </w:p>
    <w:p w:rsidR="0089074A" w:rsidRDefault="00185114">
      <w:pPr>
        <w:pStyle w:val="Default"/>
        <w:spacing w:line="360" w:lineRule="auto"/>
        <w:ind w:firstLineChars="200" w:firstLine="361"/>
        <w:rPr>
          <w:rFonts w:asciiTheme="majorEastAsia" w:eastAsiaTheme="majorEastAsia" w:hAnsiTheme="majorEastAsia"/>
          <w:bCs/>
          <w:color w:val="auto"/>
          <w:sz w:val="18"/>
          <w:szCs w:val="18"/>
        </w:rPr>
      </w:pPr>
      <w:r>
        <w:rPr>
          <w:rFonts w:asciiTheme="majorEastAsia" w:eastAsiaTheme="majorEastAsia" w:hAnsiTheme="majorEastAsia"/>
          <w:b/>
          <w:bCs/>
          <w:color w:val="auto"/>
          <w:sz w:val="18"/>
          <w:szCs w:val="18"/>
        </w:rPr>
        <w:t xml:space="preserve">2. </w:t>
      </w:r>
      <w:r>
        <w:rPr>
          <w:rFonts w:asciiTheme="majorEastAsia" w:eastAsiaTheme="majorEastAsia" w:hAnsiTheme="majorEastAsia" w:hint="eastAsia"/>
          <w:b/>
          <w:bCs/>
          <w:color w:val="auto"/>
          <w:sz w:val="18"/>
          <w:szCs w:val="18"/>
        </w:rPr>
        <w:t>法律文件用语</w:t>
      </w:r>
      <w:r>
        <w:rPr>
          <w:rFonts w:asciiTheme="majorEastAsia" w:eastAsiaTheme="majorEastAsia" w:hAnsiTheme="majorEastAsia"/>
          <w:b/>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理财产品销售文件</w:t>
      </w:r>
      <w:r>
        <w:rPr>
          <w:rFonts w:asciiTheme="majorEastAsia" w:eastAsiaTheme="majorEastAsia" w:hAnsiTheme="majorEastAsia"/>
          <w:bCs/>
          <w:sz w:val="18"/>
          <w:szCs w:val="18"/>
        </w:rPr>
        <w:t xml:space="preserve"> </w:t>
      </w:r>
      <w:r>
        <w:rPr>
          <w:rFonts w:asciiTheme="majorEastAsia" w:eastAsiaTheme="majorEastAsia" w:hAnsiTheme="majorEastAsia" w:hint="eastAsia"/>
          <w:bCs/>
          <w:sz w:val="18"/>
          <w:szCs w:val="18"/>
        </w:rPr>
        <w:t>：指产品管理人向投资者提供的，用于描述产品特征，约定权利义务的文件。具体指《兴银理财</w:t>
      </w:r>
      <w:permStart w:id="2059092265" w:edGrp="everyone"/>
      <w:r>
        <w:rPr>
          <w:rFonts w:asciiTheme="majorEastAsia" w:eastAsiaTheme="majorEastAsia" w:hAnsiTheme="majorEastAsia" w:hint="eastAsia"/>
          <w:bCs/>
          <w:sz w:val="18"/>
          <w:szCs w:val="18"/>
        </w:rPr>
        <w:t>【稳添利日盈日开固收类】</w:t>
      </w:r>
      <w:permEnd w:id="2059092265"/>
      <w:r>
        <w:rPr>
          <w:rFonts w:asciiTheme="majorEastAsia" w:eastAsiaTheme="majorEastAsia" w:hAnsiTheme="majorEastAsia" w:hint="eastAsia"/>
          <w:bCs/>
          <w:sz w:val="18"/>
          <w:szCs w:val="18"/>
        </w:rPr>
        <w:t>理财产品销售文件》，包括《投资协议书》、《产品说</w:t>
      </w:r>
      <w:r>
        <w:rPr>
          <w:rFonts w:asciiTheme="majorEastAsia" w:eastAsiaTheme="majorEastAsia" w:hAnsiTheme="majorEastAsia" w:hint="eastAsia"/>
          <w:bCs/>
          <w:sz w:val="18"/>
          <w:szCs w:val="18"/>
        </w:rPr>
        <w:lastRenderedPageBreak/>
        <w:t>明书》、《（代理）销售</w:t>
      </w:r>
      <w:r>
        <w:rPr>
          <w:rFonts w:asciiTheme="majorEastAsia" w:eastAsiaTheme="majorEastAsia" w:hAnsiTheme="majorEastAsia"/>
          <w:bCs/>
          <w:sz w:val="18"/>
          <w:szCs w:val="18"/>
        </w:rPr>
        <w:t>协议书</w:t>
      </w:r>
      <w:r>
        <w:rPr>
          <w:rFonts w:asciiTheme="majorEastAsia" w:eastAsiaTheme="majorEastAsia" w:hAnsiTheme="majorEastAsia" w:hint="eastAsia"/>
          <w:bCs/>
          <w:sz w:val="18"/>
          <w:szCs w:val="18"/>
        </w:rPr>
        <w:t>》、《风险揭示书》、《投资者权益须知》以及对该文件的有效修改或补充。上述文件共同构成一份完整且不可分割的理财产品销售文件。经</w:t>
      </w:r>
      <w:r>
        <w:rPr>
          <w:rFonts w:asciiTheme="majorEastAsia" w:eastAsiaTheme="majorEastAsia" w:hAnsiTheme="majorEastAsia"/>
          <w:bCs/>
          <w:sz w:val="18"/>
          <w:szCs w:val="18"/>
        </w:rPr>
        <w:t>产品</w:t>
      </w:r>
      <w:r>
        <w:rPr>
          <w:rFonts w:asciiTheme="majorEastAsia" w:eastAsiaTheme="majorEastAsia" w:hAnsiTheme="majorEastAsia" w:hint="eastAsia"/>
          <w:bCs/>
          <w:sz w:val="18"/>
          <w:szCs w:val="18"/>
        </w:rPr>
        <w:t>管理人</w:t>
      </w:r>
      <w:r>
        <w:rPr>
          <w:rFonts w:asciiTheme="majorEastAsia" w:eastAsiaTheme="majorEastAsia" w:hAnsiTheme="majorEastAsia"/>
          <w:bCs/>
          <w:sz w:val="18"/>
          <w:szCs w:val="18"/>
        </w:rPr>
        <w:t>委托，代理销售机构可以编制</w:t>
      </w:r>
      <w:r>
        <w:rPr>
          <w:rFonts w:asciiTheme="majorEastAsia" w:eastAsiaTheme="majorEastAsia" w:hAnsiTheme="majorEastAsia" w:hint="eastAsia"/>
          <w:bCs/>
          <w:sz w:val="18"/>
          <w:szCs w:val="18"/>
        </w:rPr>
        <w:t>《（代理）销售</w:t>
      </w:r>
      <w:r>
        <w:rPr>
          <w:rFonts w:asciiTheme="majorEastAsia" w:eastAsiaTheme="majorEastAsia" w:hAnsiTheme="majorEastAsia"/>
          <w:bCs/>
          <w:sz w:val="18"/>
          <w:szCs w:val="18"/>
        </w:rPr>
        <w:t>协议书</w:t>
      </w:r>
      <w:r>
        <w:rPr>
          <w:rFonts w:asciiTheme="majorEastAsia" w:eastAsiaTheme="majorEastAsia" w:hAnsiTheme="majorEastAsia" w:hint="eastAsia"/>
          <w:bCs/>
          <w:sz w:val="18"/>
          <w:szCs w:val="18"/>
        </w:rPr>
        <w:t>》、《风险揭示书》、《投资者权益须知》。</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《投资协议书》：指管理人统一编制的《兴银理财</w:t>
      </w:r>
      <w:permStart w:id="2055149528" w:edGrp="everyone"/>
      <w:r>
        <w:rPr>
          <w:rFonts w:asciiTheme="majorEastAsia" w:eastAsiaTheme="majorEastAsia" w:hAnsiTheme="majorEastAsia" w:hint="eastAsia"/>
          <w:bCs/>
          <w:sz w:val="18"/>
          <w:szCs w:val="18"/>
        </w:rPr>
        <w:t>【稳添利日盈日开固收类】</w:t>
      </w:r>
      <w:permEnd w:id="2055149528"/>
      <w:r>
        <w:rPr>
          <w:rFonts w:asciiTheme="majorEastAsia" w:eastAsiaTheme="majorEastAsia" w:hAnsiTheme="majorEastAsia" w:hint="eastAsia"/>
          <w:bCs/>
          <w:sz w:val="18"/>
          <w:szCs w:val="18"/>
        </w:rPr>
        <w:t>理财产品投资协议书》，以及对该文件的有效修改或补充。</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）《产品说明书》：指管理人统一编制的《兴银理财</w:t>
      </w:r>
      <w:permStart w:id="302528959" w:edGrp="everyone"/>
      <w:r>
        <w:rPr>
          <w:rFonts w:asciiTheme="majorEastAsia" w:eastAsiaTheme="majorEastAsia" w:hAnsiTheme="majorEastAsia" w:hint="eastAsia"/>
          <w:bCs/>
          <w:sz w:val="18"/>
          <w:szCs w:val="18"/>
        </w:rPr>
        <w:t>【稳添利日盈日开固收类】</w:t>
      </w:r>
      <w:permEnd w:id="302528959"/>
      <w:r>
        <w:rPr>
          <w:rFonts w:asciiTheme="majorEastAsia" w:eastAsiaTheme="majorEastAsia" w:hAnsiTheme="majorEastAsia" w:hint="eastAsia"/>
          <w:bCs/>
          <w:sz w:val="18"/>
          <w:szCs w:val="18"/>
        </w:rPr>
        <w:t>理财产品产品说明书》，以及对该文件的有效修改或补充。</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（4）《（代理）销售协议书》：指管理人统一编制的《兴银理财</w:t>
      </w:r>
      <w:permStart w:id="251093272" w:edGrp="everyone"/>
      <w:r>
        <w:rPr>
          <w:rFonts w:asciiTheme="majorEastAsia" w:eastAsiaTheme="majorEastAsia" w:hAnsiTheme="majorEastAsia" w:hint="eastAsia"/>
          <w:bCs/>
          <w:sz w:val="18"/>
          <w:szCs w:val="18"/>
        </w:rPr>
        <w:t>【稳添利日盈日开固收类】</w:t>
      </w:r>
      <w:permEnd w:id="251093272"/>
      <w:r>
        <w:rPr>
          <w:rFonts w:asciiTheme="majorEastAsia" w:eastAsiaTheme="majorEastAsia" w:hAnsiTheme="majorEastAsia" w:hint="eastAsia"/>
          <w:bCs/>
          <w:sz w:val="18"/>
          <w:szCs w:val="18"/>
        </w:rPr>
        <w:t>理财产品（代理）销售协议书》或</w:t>
      </w:r>
      <w:r>
        <w:rPr>
          <w:rFonts w:asciiTheme="majorEastAsia" w:eastAsiaTheme="majorEastAsia" w:hAnsiTheme="majorEastAsia"/>
          <w:bCs/>
          <w:sz w:val="18"/>
          <w:szCs w:val="18"/>
        </w:rPr>
        <w:t>代理销售机构接受产品管理人委托</w:t>
      </w:r>
      <w:r>
        <w:rPr>
          <w:rFonts w:asciiTheme="majorEastAsia" w:eastAsiaTheme="majorEastAsia" w:hAnsiTheme="majorEastAsia" w:hint="eastAsia"/>
          <w:bCs/>
          <w:sz w:val="18"/>
          <w:szCs w:val="18"/>
        </w:rPr>
        <w:t>自行</w:t>
      </w:r>
      <w:r>
        <w:rPr>
          <w:rFonts w:asciiTheme="majorEastAsia" w:eastAsiaTheme="majorEastAsia" w:hAnsiTheme="majorEastAsia"/>
          <w:bCs/>
          <w:sz w:val="18"/>
          <w:szCs w:val="18"/>
        </w:rPr>
        <w:t>编制</w:t>
      </w:r>
      <w:r>
        <w:rPr>
          <w:rFonts w:asciiTheme="majorEastAsia" w:eastAsiaTheme="majorEastAsia" w:hAnsiTheme="majorEastAsia" w:hint="eastAsia"/>
          <w:bCs/>
          <w:sz w:val="18"/>
          <w:szCs w:val="18"/>
        </w:rPr>
        <w:t>的《兴银理财</w:t>
      </w:r>
      <w:permStart w:id="1443517070" w:edGrp="everyone"/>
      <w:r>
        <w:rPr>
          <w:rFonts w:asciiTheme="majorEastAsia" w:eastAsiaTheme="majorEastAsia" w:hAnsiTheme="majorEastAsia" w:hint="eastAsia"/>
          <w:bCs/>
          <w:sz w:val="18"/>
          <w:szCs w:val="18"/>
        </w:rPr>
        <w:t>【稳添利日盈日开固收类】</w:t>
      </w:r>
      <w:permEnd w:id="1443517070"/>
      <w:r>
        <w:rPr>
          <w:rFonts w:asciiTheme="majorEastAsia" w:eastAsiaTheme="majorEastAsia" w:hAnsiTheme="majorEastAsia" w:hint="eastAsia"/>
          <w:bCs/>
          <w:sz w:val="18"/>
          <w:szCs w:val="18"/>
        </w:rPr>
        <w:t>理财产品（代理）销售协议书》（文件名称以代理销售机构实际编制为准），以及对该文件的有效修改或补充。</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）《风险揭示书》：指管理人统一编制的《兴银理财</w:t>
      </w:r>
      <w:permStart w:id="1260656032" w:edGrp="everyone"/>
      <w:r>
        <w:rPr>
          <w:rFonts w:asciiTheme="majorEastAsia" w:eastAsiaTheme="majorEastAsia" w:hAnsiTheme="majorEastAsia" w:hint="eastAsia"/>
          <w:bCs/>
          <w:sz w:val="18"/>
          <w:szCs w:val="18"/>
        </w:rPr>
        <w:t>【稳添利日盈日开固收类】</w:t>
      </w:r>
      <w:permEnd w:id="1260656032"/>
      <w:r>
        <w:rPr>
          <w:rFonts w:asciiTheme="majorEastAsia" w:eastAsiaTheme="majorEastAsia" w:hAnsiTheme="majorEastAsia" w:hint="eastAsia"/>
          <w:bCs/>
          <w:sz w:val="18"/>
          <w:szCs w:val="18"/>
        </w:rPr>
        <w:t>理财产品风险揭示书》或</w:t>
      </w:r>
      <w:r>
        <w:rPr>
          <w:rFonts w:asciiTheme="majorEastAsia" w:eastAsiaTheme="majorEastAsia" w:hAnsiTheme="majorEastAsia"/>
          <w:bCs/>
          <w:sz w:val="18"/>
          <w:szCs w:val="18"/>
        </w:rPr>
        <w:t>代理销售机构接受产品管理人委托</w:t>
      </w:r>
      <w:r>
        <w:rPr>
          <w:rFonts w:asciiTheme="majorEastAsia" w:eastAsiaTheme="majorEastAsia" w:hAnsiTheme="majorEastAsia" w:hint="eastAsia"/>
          <w:bCs/>
          <w:sz w:val="18"/>
          <w:szCs w:val="18"/>
        </w:rPr>
        <w:t>自行</w:t>
      </w:r>
      <w:r>
        <w:rPr>
          <w:rFonts w:asciiTheme="majorEastAsia" w:eastAsiaTheme="majorEastAsia" w:hAnsiTheme="majorEastAsia"/>
          <w:bCs/>
          <w:sz w:val="18"/>
          <w:szCs w:val="18"/>
        </w:rPr>
        <w:t>编制</w:t>
      </w:r>
      <w:r>
        <w:rPr>
          <w:rFonts w:asciiTheme="majorEastAsia" w:eastAsiaTheme="majorEastAsia" w:hAnsiTheme="majorEastAsia" w:hint="eastAsia"/>
          <w:bCs/>
          <w:sz w:val="18"/>
          <w:szCs w:val="18"/>
        </w:rPr>
        <w:t>的《兴银理财</w:t>
      </w:r>
      <w:permStart w:id="361069122" w:edGrp="everyone"/>
      <w:r>
        <w:rPr>
          <w:rFonts w:asciiTheme="majorEastAsia" w:eastAsiaTheme="majorEastAsia" w:hAnsiTheme="majorEastAsia" w:hint="eastAsia"/>
          <w:bCs/>
          <w:sz w:val="18"/>
          <w:szCs w:val="18"/>
        </w:rPr>
        <w:t>【稳添利日盈日开固收类】</w:t>
      </w:r>
      <w:permEnd w:id="361069122"/>
      <w:r>
        <w:rPr>
          <w:rFonts w:asciiTheme="majorEastAsia" w:eastAsiaTheme="majorEastAsia" w:hAnsiTheme="majorEastAsia" w:hint="eastAsia"/>
          <w:bCs/>
          <w:sz w:val="18"/>
          <w:szCs w:val="18"/>
        </w:rPr>
        <w:t>理财产品风险揭示书》（文件名称以代理销售机构实际编制为准），以及对该文件的有效修改或补充。</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6</w:t>
      </w:r>
      <w:r>
        <w:rPr>
          <w:rFonts w:asciiTheme="majorEastAsia" w:eastAsiaTheme="majorEastAsia" w:hAnsiTheme="majorEastAsia" w:hint="eastAsia"/>
          <w:bCs/>
          <w:sz w:val="18"/>
          <w:szCs w:val="18"/>
        </w:rPr>
        <w:t>）《投资者权益须知》：指管理人统一编制的《兴银理财</w:t>
      </w:r>
      <w:permStart w:id="1756451150" w:edGrp="everyone"/>
      <w:r>
        <w:rPr>
          <w:rFonts w:asciiTheme="majorEastAsia" w:eastAsiaTheme="majorEastAsia" w:hAnsiTheme="majorEastAsia" w:hint="eastAsia"/>
          <w:bCs/>
          <w:sz w:val="18"/>
          <w:szCs w:val="18"/>
        </w:rPr>
        <w:t>【稳添利日盈日开固收类】</w:t>
      </w:r>
      <w:permEnd w:id="1756451150"/>
      <w:r>
        <w:rPr>
          <w:rFonts w:asciiTheme="majorEastAsia" w:eastAsiaTheme="majorEastAsia" w:hAnsiTheme="majorEastAsia" w:hint="eastAsia"/>
          <w:bCs/>
          <w:sz w:val="18"/>
          <w:szCs w:val="18"/>
        </w:rPr>
        <w:t>理财产品投资者权益须知》或</w:t>
      </w:r>
      <w:r>
        <w:rPr>
          <w:rFonts w:asciiTheme="majorEastAsia" w:eastAsiaTheme="majorEastAsia" w:hAnsiTheme="majorEastAsia"/>
          <w:bCs/>
          <w:sz w:val="18"/>
          <w:szCs w:val="18"/>
        </w:rPr>
        <w:t>代理销售机构接受产品管理人委托</w:t>
      </w:r>
      <w:r>
        <w:rPr>
          <w:rFonts w:asciiTheme="majorEastAsia" w:eastAsiaTheme="majorEastAsia" w:hAnsiTheme="majorEastAsia" w:hint="eastAsia"/>
          <w:bCs/>
          <w:sz w:val="18"/>
          <w:szCs w:val="18"/>
        </w:rPr>
        <w:t>自行编制</w:t>
      </w:r>
      <w:r>
        <w:rPr>
          <w:rFonts w:asciiTheme="majorEastAsia" w:eastAsiaTheme="majorEastAsia" w:hAnsiTheme="majorEastAsia"/>
          <w:bCs/>
          <w:sz w:val="18"/>
          <w:szCs w:val="18"/>
        </w:rPr>
        <w:t>的</w:t>
      </w:r>
      <w:r>
        <w:rPr>
          <w:rFonts w:asciiTheme="majorEastAsia" w:eastAsiaTheme="majorEastAsia" w:hAnsiTheme="majorEastAsia" w:hint="eastAsia"/>
          <w:bCs/>
          <w:sz w:val="18"/>
          <w:szCs w:val="18"/>
        </w:rPr>
        <w:t>《兴银理财</w:t>
      </w:r>
      <w:permStart w:id="2009995284" w:edGrp="everyone"/>
      <w:r>
        <w:rPr>
          <w:rFonts w:asciiTheme="majorEastAsia" w:eastAsiaTheme="majorEastAsia" w:hAnsiTheme="majorEastAsia" w:hint="eastAsia"/>
          <w:bCs/>
          <w:sz w:val="18"/>
          <w:szCs w:val="18"/>
        </w:rPr>
        <w:t>【稳添利日盈日开固收类】</w:t>
      </w:r>
      <w:permEnd w:id="2009995284"/>
      <w:r>
        <w:rPr>
          <w:rFonts w:asciiTheme="majorEastAsia" w:eastAsiaTheme="majorEastAsia" w:hAnsiTheme="majorEastAsia" w:hint="eastAsia"/>
          <w:bCs/>
          <w:sz w:val="18"/>
          <w:szCs w:val="18"/>
        </w:rPr>
        <w:t>理财产品投资者权益须知》（文件名称以代理销售机构实际编制为准），以及对该文件的有效修改或补充。</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 xml:space="preserve">3. </w:t>
      </w:r>
      <w:r>
        <w:rPr>
          <w:rFonts w:asciiTheme="majorEastAsia" w:eastAsiaTheme="majorEastAsia" w:hAnsiTheme="majorEastAsia" w:hint="eastAsia"/>
          <w:b/>
          <w:bCs/>
          <w:color w:val="auto"/>
          <w:sz w:val="18"/>
          <w:szCs w:val="18"/>
        </w:rPr>
        <w:t>理财产品用语</w:t>
      </w:r>
      <w:r>
        <w:rPr>
          <w:rFonts w:asciiTheme="majorEastAsia" w:eastAsiaTheme="majorEastAsia" w:hAnsiTheme="majorEastAsia"/>
          <w:b/>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1）理财产品登记编码：指本款理财产品</w:t>
      </w:r>
      <w:r>
        <w:rPr>
          <w:rFonts w:asciiTheme="majorEastAsia" w:eastAsiaTheme="majorEastAsia" w:hAnsiTheme="majorEastAsia" w:hint="eastAsia"/>
          <w:bCs/>
          <w:color w:val="auto"/>
          <w:sz w:val="18"/>
          <w:szCs w:val="18"/>
        </w:rPr>
        <w:t>在全国银行业理财信息登记系统</w:t>
      </w:r>
      <w:r>
        <w:rPr>
          <w:rFonts w:asciiTheme="majorEastAsia" w:eastAsiaTheme="majorEastAsia" w:hAnsiTheme="majorEastAsia"/>
          <w:bCs/>
          <w:color w:val="auto"/>
          <w:sz w:val="18"/>
          <w:szCs w:val="18"/>
        </w:rPr>
        <w:t>对理财产品进行信息登记后</w:t>
      </w:r>
      <w:r>
        <w:rPr>
          <w:rFonts w:asciiTheme="majorEastAsia" w:eastAsiaTheme="majorEastAsia" w:hAnsiTheme="majorEastAsia" w:hint="eastAsia"/>
          <w:bCs/>
          <w:color w:val="auto"/>
          <w:sz w:val="18"/>
          <w:szCs w:val="18"/>
        </w:rPr>
        <w:t>，由全国银行业理财信息登记系统发放的唯一性的理财产品编码。投资者可依据登记编码在中国理财网（w</w:t>
      </w:r>
      <w:r>
        <w:rPr>
          <w:rFonts w:asciiTheme="majorEastAsia" w:eastAsiaTheme="majorEastAsia" w:hAnsiTheme="majorEastAsia"/>
          <w:bCs/>
          <w:color w:val="auto"/>
          <w:sz w:val="18"/>
          <w:szCs w:val="18"/>
        </w:rPr>
        <w:t>ww.chinawealth.com.cn</w:t>
      </w:r>
      <w:r>
        <w:rPr>
          <w:rFonts w:asciiTheme="majorEastAsia" w:eastAsiaTheme="majorEastAsia" w:hAnsiTheme="majorEastAsia" w:hint="eastAsia"/>
          <w:bCs/>
          <w:color w:val="auto"/>
          <w:sz w:val="18"/>
          <w:szCs w:val="18"/>
        </w:rPr>
        <w:t>）查询产品信息。</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2）理财</w:t>
      </w:r>
      <w:r>
        <w:rPr>
          <w:rFonts w:asciiTheme="majorEastAsia" w:eastAsiaTheme="majorEastAsia" w:hAnsiTheme="majorEastAsia" w:hint="eastAsia"/>
          <w:bCs/>
          <w:color w:val="auto"/>
          <w:sz w:val="18"/>
          <w:szCs w:val="18"/>
        </w:rPr>
        <w:t>产品代码</w:t>
      </w:r>
      <w:r>
        <w:rPr>
          <w:rFonts w:asciiTheme="majorEastAsia" w:eastAsiaTheme="majorEastAsia" w:hAnsiTheme="majorEastAsia"/>
          <w:bCs/>
          <w:color w:val="auto"/>
          <w:sz w:val="18"/>
          <w:szCs w:val="18"/>
        </w:rPr>
        <w:t>/产品代码</w:t>
      </w:r>
      <w:r>
        <w:rPr>
          <w:rFonts w:asciiTheme="majorEastAsia" w:eastAsiaTheme="majorEastAsia" w:hAnsiTheme="majorEastAsia" w:hint="eastAsia"/>
          <w:bCs/>
          <w:color w:val="auto"/>
          <w:sz w:val="18"/>
          <w:szCs w:val="18"/>
        </w:rPr>
        <w:t>：指产品管理人在全国银行业理财信息登记系统中为理财产品设置的内部识别码。</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（3）理财产品销售代码/销售代码</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指本款理财产品若设置不同</w:t>
      </w:r>
      <w:r>
        <w:rPr>
          <w:rFonts w:asciiTheme="majorEastAsia" w:eastAsiaTheme="majorEastAsia" w:hAnsiTheme="majorEastAsia"/>
          <w:bCs/>
          <w:color w:val="auto"/>
          <w:sz w:val="18"/>
          <w:szCs w:val="18"/>
        </w:rPr>
        <w:t>产品份额类别</w:t>
      </w:r>
      <w:r>
        <w:rPr>
          <w:rFonts w:asciiTheme="majorEastAsia" w:eastAsiaTheme="majorEastAsia" w:hAnsiTheme="majorEastAsia" w:hint="eastAsia"/>
          <w:bCs/>
          <w:color w:val="auto"/>
          <w:sz w:val="18"/>
          <w:szCs w:val="18"/>
        </w:rPr>
        <w:t>，为在理财产品销售管理</w:t>
      </w:r>
      <w:r>
        <w:rPr>
          <w:rFonts w:asciiTheme="majorEastAsia" w:eastAsiaTheme="majorEastAsia" w:hAnsiTheme="majorEastAsia"/>
          <w:bCs/>
          <w:color w:val="auto"/>
          <w:sz w:val="18"/>
          <w:szCs w:val="18"/>
        </w:rPr>
        <w:t>过程中</w:t>
      </w:r>
      <w:r>
        <w:rPr>
          <w:rFonts w:asciiTheme="majorEastAsia" w:eastAsiaTheme="majorEastAsia" w:hAnsiTheme="majorEastAsia" w:hint="eastAsia"/>
          <w:bCs/>
          <w:color w:val="auto"/>
          <w:sz w:val="18"/>
          <w:szCs w:val="18"/>
        </w:rPr>
        <w:t>区分不同产品份额类别，管理人</w:t>
      </w:r>
      <w:r>
        <w:rPr>
          <w:rFonts w:asciiTheme="majorEastAsia" w:eastAsiaTheme="majorEastAsia" w:hAnsiTheme="majorEastAsia"/>
          <w:bCs/>
          <w:color w:val="auto"/>
          <w:sz w:val="18"/>
          <w:szCs w:val="18"/>
        </w:rPr>
        <w:t>在同一</w:t>
      </w:r>
      <w:r>
        <w:rPr>
          <w:rFonts w:asciiTheme="majorEastAsia" w:eastAsiaTheme="majorEastAsia" w:hAnsiTheme="majorEastAsia" w:hint="eastAsia"/>
          <w:bCs/>
          <w:color w:val="auto"/>
          <w:sz w:val="18"/>
          <w:szCs w:val="18"/>
        </w:rPr>
        <w:t>理财</w:t>
      </w:r>
      <w:r>
        <w:rPr>
          <w:rFonts w:asciiTheme="majorEastAsia" w:eastAsiaTheme="majorEastAsia" w:hAnsiTheme="majorEastAsia"/>
          <w:bCs/>
          <w:color w:val="auto"/>
          <w:sz w:val="18"/>
          <w:szCs w:val="18"/>
        </w:rPr>
        <w:t>产品代码项下</w:t>
      </w:r>
      <w:r>
        <w:rPr>
          <w:rFonts w:asciiTheme="majorEastAsia" w:eastAsiaTheme="majorEastAsia" w:hAnsiTheme="majorEastAsia" w:hint="eastAsia"/>
          <w:bCs/>
          <w:color w:val="auto"/>
          <w:sz w:val="18"/>
          <w:szCs w:val="18"/>
        </w:rPr>
        <w:t>，为每类份额类别</w:t>
      </w:r>
      <w:r>
        <w:rPr>
          <w:rFonts w:asciiTheme="majorEastAsia" w:eastAsiaTheme="majorEastAsia" w:hAnsiTheme="majorEastAsia"/>
          <w:bCs/>
          <w:color w:val="auto"/>
          <w:sz w:val="18"/>
          <w:szCs w:val="18"/>
        </w:rPr>
        <w:t>设置</w:t>
      </w:r>
      <w:r>
        <w:rPr>
          <w:rFonts w:asciiTheme="majorEastAsia" w:eastAsiaTheme="majorEastAsia" w:hAnsiTheme="majorEastAsia" w:hint="eastAsia"/>
          <w:bCs/>
          <w:color w:val="auto"/>
          <w:sz w:val="18"/>
          <w:szCs w:val="18"/>
        </w:rPr>
        <w:t>的唯一性内部识别码。若本款理财产品不设置差异化产品份额类别，理财产品代码即为理财产品销售代码。</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（4）理财产品风险等级：理财产品风险等级为产品管理人和销售机构经过审慎评估后确定的产品风险等级。</w:t>
      </w:r>
      <w:r>
        <w:rPr>
          <w:rFonts w:asciiTheme="majorEastAsia" w:eastAsiaTheme="majorEastAsia" w:hAnsiTheme="majorEastAsia" w:hint="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lastRenderedPageBreak/>
        <w:t>（5）投资者风险承受能力评估：指销售机构对理财投资者的风险承受能力进行评价的过程。</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6</w:t>
      </w:r>
      <w:r>
        <w:rPr>
          <w:rFonts w:asciiTheme="majorEastAsia" w:eastAsiaTheme="majorEastAsia" w:hAnsiTheme="majorEastAsia" w:hint="eastAsia"/>
          <w:bCs/>
          <w:color w:val="auto"/>
          <w:sz w:val="18"/>
          <w:szCs w:val="18"/>
        </w:rPr>
        <w:t>）适合投资者：指适合购买理财产品的投资者类型。</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7</w:t>
      </w:r>
      <w:r>
        <w:rPr>
          <w:rFonts w:asciiTheme="majorEastAsia" w:eastAsiaTheme="majorEastAsia" w:hAnsiTheme="majorEastAsia" w:hint="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eastAsiaTheme="majorEastAsia" w:hAnsiTheme="majorEastAsia"/>
          <w:bCs/>
          <w:color w:val="auto"/>
          <w:sz w:val="18"/>
          <w:szCs w:val="18"/>
        </w:rPr>
        <w:t>产品份额四舍五入保留2位小数</w:t>
      </w:r>
      <w:r>
        <w:rPr>
          <w:rFonts w:asciiTheme="majorEastAsia" w:eastAsiaTheme="majorEastAsia" w:hAnsiTheme="majorEastAsia" w:hint="eastAsia"/>
          <w:bCs/>
          <w:color w:val="auto"/>
          <w:sz w:val="18"/>
          <w:szCs w:val="18"/>
        </w:rPr>
        <w:t>。</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8</w:t>
      </w:r>
      <w:r>
        <w:rPr>
          <w:rFonts w:asciiTheme="majorEastAsia" w:eastAsiaTheme="majorEastAsia" w:hAnsiTheme="majorEastAsia" w:hint="eastAsia"/>
          <w:bCs/>
          <w:color w:val="auto"/>
          <w:sz w:val="18"/>
          <w:szCs w:val="18"/>
        </w:rPr>
        <w:t>）</w:t>
      </w:r>
      <w:r>
        <w:rPr>
          <w:rFonts w:hAnsi="宋体" w:hint="eastAsia"/>
          <w:color w:val="auto"/>
          <w:sz w:val="18"/>
          <w:szCs w:val="18"/>
        </w:rPr>
        <w:t>理财产品资产净值/理财资产净值/产品资产净值</w:t>
      </w:r>
      <w:r>
        <w:rPr>
          <w:rFonts w:asciiTheme="majorEastAsia" w:eastAsiaTheme="majorEastAsia" w:hAnsiTheme="majorEastAsia" w:hint="eastAsia"/>
          <w:bCs/>
          <w:color w:val="auto"/>
          <w:sz w:val="18"/>
          <w:szCs w:val="18"/>
        </w:rPr>
        <w:t>：理财产品资产净值</w:t>
      </w:r>
      <w:r>
        <w:rPr>
          <w:rFonts w:asciiTheme="majorEastAsia" w:eastAsiaTheme="majorEastAsia" w:hAnsiTheme="majorEastAsia"/>
          <w:bCs/>
          <w:color w:val="auto"/>
          <w:sz w:val="18"/>
          <w:szCs w:val="18"/>
        </w:rPr>
        <w:t>=理财</w:t>
      </w:r>
      <w:r>
        <w:rPr>
          <w:rFonts w:asciiTheme="majorEastAsia" w:eastAsiaTheme="majorEastAsia" w:hAnsiTheme="majorEastAsia" w:hint="eastAsia"/>
          <w:bCs/>
          <w:color w:val="auto"/>
          <w:sz w:val="18"/>
          <w:szCs w:val="18"/>
        </w:rPr>
        <w:t>产品资产总值</w:t>
      </w:r>
      <w:r>
        <w:rPr>
          <w:rFonts w:asciiTheme="majorEastAsia" w:eastAsiaTheme="majorEastAsia" w:hAnsiTheme="majorEastAsia"/>
          <w:bCs/>
          <w:color w:val="auto"/>
          <w:sz w:val="18"/>
          <w:szCs w:val="18"/>
        </w:rPr>
        <w:t>-理财</w:t>
      </w:r>
      <w:r>
        <w:rPr>
          <w:rFonts w:asciiTheme="majorEastAsia" w:eastAsiaTheme="majorEastAsia" w:hAnsiTheme="majorEastAsia" w:hint="eastAsia"/>
          <w:bCs/>
          <w:color w:val="auto"/>
          <w:sz w:val="18"/>
          <w:szCs w:val="18"/>
        </w:rPr>
        <w:t>产品负债总值。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理财产品资产总值是指理财产品拥有的各类有价证券、银行存款、应收款项及其他资产的价值总和。</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理财产品负债总值是指理财产品运作及融资时形成的负债价值总和，包括融资资金本息、应付各项费用（包括托管费、认购费、固定管理费、计入负债的业绩报酬、其他费用等）、应付税金及其他应付款项等。</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9</w:t>
      </w:r>
      <w:r>
        <w:rPr>
          <w:rFonts w:asciiTheme="majorEastAsia" w:eastAsiaTheme="majorEastAsia" w:hAnsiTheme="majorEastAsia" w:hint="eastAsia"/>
          <w:bCs/>
          <w:color w:val="auto"/>
          <w:sz w:val="18"/>
          <w:szCs w:val="18"/>
        </w:rPr>
        <w:t>）理财产品份额净值/理财份额净值/产品份额净值：指理财产品份额的单位净值，即每</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份理财产品份额以人民币计价的价格。理财产品份额净值</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理财资产净值</w:t>
      </w:r>
      <w:r>
        <w:rPr>
          <w:rFonts w:asciiTheme="majorEastAsia" w:eastAsiaTheme="majorEastAsia" w:hAnsiTheme="majorEastAsia"/>
          <w:bCs/>
          <w:color w:val="auto"/>
          <w:sz w:val="18"/>
          <w:szCs w:val="18"/>
        </w:rPr>
        <w:t>/产品</w:t>
      </w:r>
      <w:r>
        <w:rPr>
          <w:rFonts w:asciiTheme="majorEastAsia" w:eastAsiaTheme="majorEastAsia" w:hAnsiTheme="majorEastAsia" w:hint="eastAsia"/>
          <w:bCs/>
          <w:color w:val="auto"/>
          <w:sz w:val="18"/>
          <w:szCs w:val="18"/>
        </w:rPr>
        <w:t>总</w:t>
      </w:r>
      <w:r>
        <w:rPr>
          <w:rFonts w:asciiTheme="majorEastAsia" w:eastAsiaTheme="majorEastAsia" w:hAnsiTheme="majorEastAsia"/>
          <w:bCs/>
          <w:color w:val="auto"/>
          <w:sz w:val="18"/>
          <w:szCs w:val="18"/>
        </w:rPr>
        <w:t>份额</w:t>
      </w:r>
      <w:r>
        <w:rPr>
          <w:rFonts w:asciiTheme="majorEastAsia" w:eastAsiaTheme="majorEastAsia" w:hAnsiTheme="majorEastAsia" w:hint="eastAsia"/>
          <w:bCs/>
          <w:color w:val="auto"/>
          <w:sz w:val="18"/>
          <w:szCs w:val="18"/>
        </w:rPr>
        <w:t>。投资者按该份额净值进行理财产品申购、赎回和终止时分配。理财</w:t>
      </w:r>
      <w:r>
        <w:rPr>
          <w:rFonts w:asciiTheme="majorEastAsia" w:eastAsiaTheme="majorEastAsia" w:hAnsiTheme="majorEastAsia"/>
          <w:bCs/>
          <w:color w:val="auto"/>
          <w:sz w:val="18"/>
          <w:szCs w:val="18"/>
        </w:rPr>
        <w:t>产品份额净值四舍五入保留5位小数。</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理财产品份额净值</w:t>
      </w:r>
      <w:r>
        <w:rPr>
          <w:rFonts w:asciiTheme="majorEastAsia" w:eastAsiaTheme="majorEastAsia" w:hAnsiTheme="majorEastAsia" w:hint="eastAsia"/>
          <w:bCs/>
          <w:color w:val="auto"/>
          <w:sz w:val="18"/>
          <w:szCs w:val="18"/>
        </w:rPr>
        <w:t>可以展示为</w:t>
      </w:r>
      <w:r>
        <w:rPr>
          <w:rFonts w:asciiTheme="majorEastAsia" w:eastAsiaTheme="majorEastAsia" w:hAnsiTheme="majorEastAsia"/>
          <w:bCs/>
          <w:color w:val="auto"/>
          <w:sz w:val="18"/>
          <w:szCs w:val="18"/>
        </w:rPr>
        <w:t>当前理财产品份额净值</w:t>
      </w:r>
      <w:r>
        <w:rPr>
          <w:rFonts w:asciiTheme="majorEastAsia" w:eastAsiaTheme="majorEastAsia" w:hAnsiTheme="majorEastAsia" w:hint="eastAsia"/>
          <w:bCs/>
          <w:color w:val="auto"/>
          <w:sz w:val="18"/>
          <w:szCs w:val="18"/>
        </w:rPr>
        <w:t>和累计理财产品份额净值。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当前理财产品份额净值，指</w:t>
      </w:r>
      <w:r>
        <w:rPr>
          <w:rFonts w:asciiTheme="majorEastAsia" w:eastAsiaTheme="majorEastAsia" w:hAnsiTheme="majorEastAsia"/>
          <w:bCs/>
          <w:color w:val="auto"/>
          <w:sz w:val="18"/>
          <w:szCs w:val="18"/>
        </w:rPr>
        <w:t>产品</w:t>
      </w:r>
      <w:r>
        <w:rPr>
          <w:rFonts w:asciiTheme="majorEastAsia" w:eastAsiaTheme="majorEastAsia" w:hAnsiTheme="majorEastAsia" w:hint="eastAsia"/>
          <w:bCs/>
          <w:color w:val="auto"/>
          <w:sz w:val="18"/>
          <w:szCs w:val="18"/>
        </w:rPr>
        <w:t>当前</w:t>
      </w:r>
      <w:r>
        <w:rPr>
          <w:rFonts w:asciiTheme="majorEastAsia" w:eastAsiaTheme="majorEastAsia" w:hAnsiTheme="majorEastAsia"/>
          <w:bCs/>
          <w:color w:val="auto"/>
          <w:sz w:val="18"/>
          <w:szCs w:val="18"/>
        </w:rPr>
        <w:t>的</w:t>
      </w:r>
      <w:r>
        <w:rPr>
          <w:rFonts w:asciiTheme="majorEastAsia" w:eastAsiaTheme="majorEastAsia" w:hAnsiTheme="majorEastAsia" w:hint="eastAsia"/>
          <w:bCs/>
          <w:color w:val="auto"/>
          <w:sz w:val="18"/>
          <w:szCs w:val="18"/>
        </w:rPr>
        <w:t>份额净值。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累计理财产品份额净值</w:t>
      </w: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指产品当前份额净值及产品成立到现在</w:t>
      </w:r>
      <w:r>
        <w:rPr>
          <w:rFonts w:asciiTheme="majorEastAsia" w:eastAsiaTheme="majorEastAsia" w:hAnsiTheme="majorEastAsia" w:hint="eastAsia"/>
          <w:bCs/>
          <w:color w:val="auto"/>
          <w:sz w:val="18"/>
          <w:szCs w:val="18"/>
        </w:rPr>
        <w:t>单位</w:t>
      </w:r>
      <w:r>
        <w:rPr>
          <w:rFonts w:asciiTheme="majorEastAsia" w:eastAsiaTheme="majorEastAsia" w:hAnsiTheme="majorEastAsia"/>
          <w:bCs/>
          <w:color w:val="auto"/>
          <w:sz w:val="18"/>
          <w:szCs w:val="18"/>
        </w:rPr>
        <w:t>理财产品</w:t>
      </w:r>
      <w:r>
        <w:rPr>
          <w:rFonts w:asciiTheme="majorEastAsia" w:eastAsiaTheme="majorEastAsia" w:hAnsiTheme="majorEastAsia" w:hint="eastAsia"/>
          <w:bCs/>
          <w:color w:val="auto"/>
          <w:sz w:val="18"/>
          <w:szCs w:val="18"/>
        </w:rPr>
        <w:t>份额</w:t>
      </w:r>
      <w:r>
        <w:rPr>
          <w:rFonts w:asciiTheme="majorEastAsia" w:eastAsiaTheme="majorEastAsia" w:hAnsiTheme="majorEastAsia"/>
          <w:bCs/>
          <w:color w:val="auto"/>
          <w:sz w:val="18"/>
          <w:szCs w:val="18"/>
        </w:rPr>
        <w:t>分红之和</w:t>
      </w:r>
      <w:r>
        <w:rPr>
          <w:rFonts w:asciiTheme="majorEastAsia" w:eastAsiaTheme="majorEastAsia" w:hAnsiTheme="majorEastAsia" w:hint="eastAsia"/>
          <w:bCs/>
          <w:color w:val="auto"/>
          <w:sz w:val="18"/>
          <w:szCs w:val="18"/>
        </w:rPr>
        <w:t>。</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（注：若无特别说明，理财产品份额净值通常指当前理财产品份额净值）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10</w:t>
      </w:r>
      <w:r>
        <w:rPr>
          <w:rFonts w:asciiTheme="majorEastAsia" w:eastAsiaTheme="majorEastAsia" w:hAnsiTheme="majorEastAsia" w:hint="eastAsia"/>
          <w:bCs/>
          <w:color w:val="auto"/>
          <w:sz w:val="18"/>
          <w:szCs w:val="18"/>
        </w:rPr>
        <w:t>）理财产品估值：指计算评估理财产品资产和理财产品负债的价值，以确定理财产品份额净值的过程。</w:t>
      </w:r>
    </w:p>
    <w:p w:rsidR="0089074A" w:rsidRDefault="00185114">
      <w:pPr>
        <w:pStyle w:val="Default"/>
        <w:spacing w:line="360" w:lineRule="auto"/>
        <w:ind w:firstLineChars="200" w:firstLine="360"/>
        <w:rPr>
          <w:rFonts w:ascii="黑体" w:eastAsia="黑体" w:hAnsi="黑体"/>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1）</w:t>
      </w:r>
      <w:r>
        <w:rPr>
          <w:rFonts w:ascii="黑体" w:eastAsia="黑体" w:hAnsi="黑体" w:hint="eastAsia"/>
          <w:bCs/>
          <w:color w:val="auto"/>
          <w:sz w:val="18"/>
          <w:szCs w:val="18"/>
        </w:rPr>
        <w:t>★业绩比较基准：</w:t>
      </w:r>
      <w:r>
        <w:rPr>
          <w:rFonts w:asciiTheme="majorEastAsia" w:eastAsiaTheme="majorEastAsia" w:hAnsiTheme="majorEastAsia" w:hint="eastAsia"/>
          <w:bCs/>
          <w:color w:val="auto"/>
          <w:sz w:val="18"/>
          <w:szCs w:val="18"/>
        </w:rPr>
        <w:t>指管理人综合考虑市场环境、产品性质、投资策略、过往表现等因素，对理财产品设置的投资目标和相关解释说明。</w:t>
      </w:r>
      <w:r>
        <w:rPr>
          <w:rFonts w:ascii="黑体" w:eastAsia="黑体" w:hAnsi="黑体" w:hint="eastAsia"/>
          <w:bCs/>
          <w:color w:val="auto"/>
          <w:sz w:val="18"/>
          <w:szCs w:val="18"/>
        </w:rPr>
        <w:t>业绩比较基准不是预期收益率，不代表产品的未来表现和实际收益，</w:t>
      </w:r>
      <w:r>
        <w:rPr>
          <w:rFonts w:ascii="黑体" w:hAnsi="黑体" w:hint="eastAsia"/>
          <w:sz w:val="18"/>
        </w:rPr>
        <w:t>不</w:t>
      </w:r>
      <w:r>
        <w:rPr>
          <w:rFonts w:ascii="黑体" w:eastAsia="黑体" w:hAnsi="黑体" w:hint="eastAsia"/>
          <w:bCs/>
          <w:sz w:val="18"/>
          <w:szCs w:val="18"/>
        </w:rPr>
        <w:t>构成对</w:t>
      </w:r>
      <w:r>
        <w:rPr>
          <w:rFonts w:ascii="黑体" w:hAnsi="黑体" w:hint="eastAsia"/>
          <w:sz w:val="18"/>
        </w:rPr>
        <w:t>产品收益的</w:t>
      </w:r>
      <w:r>
        <w:rPr>
          <w:rFonts w:ascii="黑体" w:eastAsia="黑体" w:hAnsi="黑体" w:hint="eastAsia"/>
          <w:bCs/>
          <w:sz w:val="18"/>
          <w:szCs w:val="18"/>
        </w:rPr>
        <w:t>承诺</w:t>
      </w:r>
      <w:r>
        <w:rPr>
          <w:rFonts w:ascii="黑体" w:hAnsi="黑体" w:hint="eastAsia"/>
          <w:sz w:val="18"/>
        </w:rPr>
        <w:t>，</w:t>
      </w:r>
      <w:r>
        <w:rPr>
          <w:rFonts w:ascii="黑体" w:eastAsia="黑体" w:hAnsi="黑体" w:hint="eastAsia"/>
          <w:bCs/>
          <w:color w:val="auto"/>
          <w:sz w:val="18"/>
          <w:szCs w:val="18"/>
        </w:rPr>
        <w:t>投资须谨慎。</w:t>
      </w:r>
    </w:p>
    <w:p w:rsidR="0089074A" w:rsidRDefault="00185114">
      <w:pPr>
        <w:pStyle w:val="Default"/>
        <w:spacing w:line="360" w:lineRule="auto"/>
        <w:ind w:firstLineChars="200" w:firstLine="360"/>
        <w:rPr>
          <w:rFonts w:ascii="黑体" w:eastAsia="黑体" w:hAnsi="黑体"/>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2）</w:t>
      </w:r>
      <w:r>
        <w:rPr>
          <w:rFonts w:ascii="黑体" w:eastAsia="黑体" w:hAnsi="黑体" w:hint="eastAsia"/>
          <w:bCs/>
          <w:color w:val="auto"/>
          <w:sz w:val="18"/>
          <w:szCs w:val="18"/>
        </w:rPr>
        <w:t>★业绩报酬计提基准：</w:t>
      </w:r>
      <w:r>
        <w:rPr>
          <w:rFonts w:asciiTheme="majorEastAsia" w:eastAsiaTheme="majorEastAsia" w:hAnsiTheme="majorEastAsia" w:hint="eastAsia"/>
          <w:bCs/>
          <w:color w:val="auto"/>
          <w:sz w:val="18"/>
          <w:szCs w:val="18"/>
        </w:rPr>
        <w:t>指管理人计算超额业绩报酬的参照</w:t>
      </w:r>
      <w:r>
        <w:rPr>
          <w:rFonts w:asciiTheme="majorEastAsia" w:eastAsiaTheme="majorEastAsia" w:hAnsiTheme="majorEastAsia"/>
          <w:bCs/>
          <w:color w:val="auto"/>
          <w:sz w:val="18"/>
          <w:szCs w:val="18"/>
        </w:rPr>
        <w:t>标准</w:t>
      </w:r>
      <w:r>
        <w:rPr>
          <w:rFonts w:asciiTheme="majorEastAsia" w:eastAsiaTheme="majorEastAsia" w:hAnsiTheme="majorEastAsia" w:hint="eastAsia"/>
          <w:bCs/>
          <w:color w:val="auto"/>
          <w:sz w:val="18"/>
          <w:szCs w:val="18"/>
        </w:rPr>
        <w:t>。</w:t>
      </w:r>
      <w:r>
        <w:rPr>
          <w:rFonts w:ascii="黑体" w:eastAsia="黑体" w:hAnsi="黑体" w:hint="eastAsia"/>
          <w:bCs/>
          <w:color w:val="auto"/>
          <w:sz w:val="18"/>
          <w:szCs w:val="18"/>
        </w:rPr>
        <w:t>业绩报酬计提基准不是预期收益率，不代表产品的未来表现和实际收益，不构成对产品收益的承诺，投资须谨慎。</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13</w:t>
      </w:r>
      <w:r>
        <w:rPr>
          <w:rFonts w:asciiTheme="majorEastAsia" w:eastAsiaTheme="majorEastAsia" w:hAnsiTheme="majorEastAsia" w:hint="eastAsia"/>
          <w:bCs/>
          <w:color w:val="auto"/>
          <w:sz w:val="18"/>
          <w:szCs w:val="18"/>
        </w:rPr>
        <w:t>）理财产品利益/理财利益：指投资者因持有理财产品份额，按照销售文件约定取得或有权取得的理财产品管理人分配的理财产品资产。</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 xml:space="preserve">14）利益分配：指产品管理人向投资者进行理财产品利益分配。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 xml:space="preserve">15）期间分配：指在理财产品终止日（不含当日）前的理财产品利益分配。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16）终止分配：指在理财产品终止日当日及之后的理财产品利益分配。</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17</w:t>
      </w:r>
      <w:r>
        <w:rPr>
          <w:rFonts w:asciiTheme="majorEastAsia" w:eastAsiaTheme="majorEastAsia" w:hAnsiTheme="majorEastAsia" w:hint="eastAsia"/>
          <w:bCs/>
          <w:color w:val="auto"/>
          <w:sz w:val="18"/>
          <w:szCs w:val="18"/>
        </w:rPr>
        <w:t>）认购：指投资者根据本销售文件约定在认购期</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募集期内申请购买理财产品份额的行为。</w:t>
      </w:r>
      <w:r>
        <w:rPr>
          <w:rFonts w:asciiTheme="majorEastAsia" w:eastAsiaTheme="majorEastAsia" w:hAnsiTheme="majorEastAsia"/>
          <w:bCs/>
          <w:color w:val="auto"/>
          <w:sz w:val="18"/>
          <w:szCs w:val="18"/>
        </w:rPr>
        <w:t xml:space="preserve"> </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ajorEastAsia" w:eastAsiaTheme="majorEastAsia" w:hAnsiTheme="majorEastAsia" w:hint="eastAsia"/>
          <w:bCs/>
          <w:color w:val="auto"/>
          <w:sz w:val="18"/>
          <w:szCs w:val="18"/>
        </w:rPr>
        <w:lastRenderedPageBreak/>
        <w:t>（</w:t>
      </w:r>
      <w:r>
        <w:rPr>
          <w:rFonts w:asciiTheme="majorEastAsia" w:eastAsiaTheme="majorEastAsia" w:hAnsiTheme="majorEastAsia"/>
          <w:bCs/>
          <w:color w:val="auto"/>
          <w:sz w:val="18"/>
          <w:szCs w:val="18"/>
        </w:rPr>
        <w:t>18</w:t>
      </w:r>
      <w:r>
        <w:rPr>
          <w:rFonts w:asciiTheme="majorEastAsia" w:eastAsiaTheme="majorEastAsia" w:hAnsiTheme="majorEastAsia" w:hint="eastAsia"/>
          <w:bCs/>
          <w:color w:val="auto"/>
          <w:sz w:val="18"/>
          <w:szCs w:val="18"/>
        </w:rPr>
        <w:t>）申购：</w:t>
      </w:r>
      <w:r>
        <w:rPr>
          <w:rFonts w:asciiTheme="minorEastAsia" w:eastAsiaTheme="minorEastAsia" w:hAnsiTheme="minorEastAsia" w:hint="eastAsia"/>
          <w:color w:val="auto"/>
          <w:sz w:val="18"/>
          <w:szCs w:val="18"/>
        </w:rPr>
        <w:t>指开放式理财产品成立后，投资者申请购买理财产品份额的行为。</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首次申购，指未进行认购的投资者，在理财产品成立后申请购买理财产品份额的行为。</w:t>
      </w:r>
      <w:r>
        <w:rPr>
          <w:rFonts w:asciiTheme="minorEastAsia" w:eastAsiaTheme="minorEastAsia" w:hAnsiTheme="minorEastAsia"/>
          <w:color w:val="auto"/>
          <w:sz w:val="18"/>
          <w:szCs w:val="18"/>
        </w:rPr>
        <w:t>投资者全额赎回不再持有理财产品份额后再次申购</w:t>
      </w:r>
      <w:r>
        <w:rPr>
          <w:rFonts w:asciiTheme="minorEastAsia" w:eastAsiaTheme="minorEastAsia" w:hAnsiTheme="minorEastAsia" w:hint="eastAsia"/>
          <w:color w:val="auto"/>
          <w:sz w:val="18"/>
          <w:szCs w:val="18"/>
        </w:rPr>
        <w:t>的</w:t>
      </w:r>
      <w:r>
        <w:rPr>
          <w:rFonts w:asciiTheme="minorEastAsia" w:eastAsiaTheme="minorEastAsia" w:hAnsiTheme="minorEastAsia"/>
          <w:color w:val="auto"/>
          <w:sz w:val="18"/>
          <w:szCs w:val="18"/>
        </w:rPr>
        <w:t>，视同首次申购处理。</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追加申购，指已经完成认购或首次申购的投资者，在理财产品成立后申请购买理财产品份额的行为。</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19</w:t>
      </w:r>
      <w:r>
        <w:rPr>
          <w:rFonts w:asciiTheme="majorEastAsia" w:eastAsiaTheme="majorEastAsia" w:hAnsiTheme="majorEastAsia" w:hint="eastAsia"/>
          <w:bCs/>
          <w:color w:val="auto"/>
          <w:sz w:val="18"/>
          <w:szCs w:val="18"/>
        </w:rPr>
        <w:t>）赎回：</w:t>
      </w:r>
      <w:r>
        <w:rPr>
          <w:rFonts w:asciiTheme="minorEastAsia" w:eastAsiaTheme="minorEastAsia" w:hAnsiTheme="minorEastAsia" w:hint="eastAsia"/>
          <w:color w:val="auto"/>
          <w:sz w:val="18"/>
          <w:szCs w:val="18"/>
        </w:rPr>
        <w:t>指开放式理财产品成立后，投资者申请赎回理财产品份额的行为，即投资者申请将理财产品份额兑换为现金。</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（20）巨额赎回：</w:t>
      </w:r>
      <w:r>
        <w:rPr>
          <w:rFonts w:asciiTheme="minorEastAsia" w:hAnsiTheme="minorEastAsia" w:hint="eastAsia"/>
          <w:bCs/>
          <w:color w:val="auto"/>
          <w:sz w:val="18"/>
          <w:szCs w:val="18"/>
        </w:rPr>
        <w:t>单个开放日中，本产品的产品份额净赎回申请（赎回申请总份额扣除申购总份额后的余额</w:t>
      </w:r>
      <w:r>
        <w:rPr>
          <w:rFonts w:asciiTheme="minorEastAsia" w:hAnsiTheme="minorEastAsia"/>
          <w:bCs/>
          <w:color w:val="auto"/>
          <w:sz w:val="18"/>
          <w:szCs w:val="18"/>
        </w:rPr>
        <w:t>,</w:t>
      </w:r>
      <w:r>
        <w:rPr>
          <w:rFonts w:asciiTheme="minorEastAsia" w:hAnsiTheme="minorEastAsia" w:hint="eastAsia"/>
          <w:bCs/>
          <w:color w:val="auto"/>
          <w:sz w:val="18"/>
          <w:szCs w:val="18"/>
        </w:rPr>
        <w:t>下同）之和达到上一日产品总份额的</w:t>
      </w:r>
      <w:r>
        <w:rPr>
          <w:rFonts w:asciiTheme="minorEastAsia" w:hAnsiTheme="minorEastAsia"/>
          <w:bCs/>
          <w:color w:val="auto"/>
          <w:sz w:val="18"/>
          <w:szCs w:val="18"/>
        </w:rPr>
        <w:t>约定百分比</w:t>
      </w:r>
      <w:r>
        <w:rPr>
          <w:rFonts w:asciiTheme="minorEastAsia" w:hAnsiTheme="minorEastAsia" w:hint="eastAsia"/>
          <w:bCs/>
          <w:color w:val="auto"/>
          <w:sz w:val="18"/>
          <w:szCs w:val="18"/>
        </w:rPr>
        <w:t>，为巨额赎回。</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21）摆动定价机制：是指当开放式公募理财产品（现金管理类理财产品除外）遭遇大额申购或赎回时，通过调整理财产品份额净值的方式，将理财产品调整投资组合的市场冲击成本分配给实际申购、赎回的投资者，从而减少对存量理财产品份额持有人利益的不利影响。</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22）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23）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 xml:space="preserve">4. </w:t>
      </w:r>
      <w:r>
        <w:rPr>
          <w:rFonts w:asciiTheme="majorEastAsia" w:eastAsiaTheme="majorEastAsia" w:hAnsiTheme="majorEastAsia" w:hint="eastAsia"/>
          <w:b/>
          <w:bCs/>
          <w:color w:val="auto"/>
          <w:sz w:val="18"/>
          <w:szCs w:val="18"/>
        </w:rPr>
        <w:t>期间与日期</w:t>
      </w:r>
      <w:r>
        <w:rPr>
          <w:rFonts w:asciiTheme="majorEastAsia" w:eastAsiaTheme="majorEastAsia" w:hAnsiTheme="majorEastAsia"/>
          <w:b/>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1）日</w:t>
      </w: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指自然日</w:t>
      </w:r>
      <w:r>
        <w:rPr>
          <w:rFonts w:asciiTheme="majorEastAsia" w:eastAsiaTheme="majorEastAsia" w:hAnsiTheme="majorEastAsia" w:hint="eastAsia"/>
          <w:bCs/>
          <w:color w:val="auto"/>
          <w:sz w:val="18"/>
          <w:szCs w:val="18"/>
        </w:rPr>
        <w:t>。</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（2）交易日：指银行间市场、证券交易所市场的共同正常开盘交易日。</w:t>
      </w:r>
      <w:r>
        <w:rPr>
          <w:rFonts w:asciiTheme="majorEastAsia" w:eastAsiaTheme="majorEastAsia" w:hAnsiTheme="majorEastAsia"/>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3）</w:t>
      </w:r>
      <w:r>
        <w:rPr>
          <w:rFonts w:asciiTheme="majorEastAsia" w:eastAsiaTheme="majorEastAsia" w:hAnsiTheme="majorEastAsia" w:hint="eastAsia"/>
          <w:bCs/>
          <w:color w:val="auto"/>
          <w:sz w:val="18"/>
          <w:szCs w:val="18"/>
        </w:rPr>
        <w:t>工作日：指国家法定工作日。</w:t>
      </w:r>
      <w:r>
        <w:rPr>
          <w:rFonts w:asciiTheme="majorEastAsia" w:eastAsiaTheme="majorEastAsia" w:hAnsiTheme="majorEastAsia"/>
          <w:bCs/>
          <w:color w:val="auto"/>
          <w:sz w:val="18"/>
          <w:szCs w:val="18"/>
        </w:rPr>
        <w:t xml:space="preserve"> </w:t>
      </w:r>
    </w:p>
    <w:p w:rsidR="0089074A" w:rsidRDefault="00185114">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rsidR="0089074A" w:rsidRDefault="00185114">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rsidR="0089074A" w:rsidRDefault="00185114">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rsidR="0089074A" w:rsidRDefault="00185114">
      <w:pPr>
        <w:pStyle w:val="Default"/>
        <w:spacing w:line="360" w:lineRule="auto"/>
        <w:ind w:firstLineChars="200" w:firstLine="36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Ansi="宋体" w:hint="eastAsia"/>
          <w:color w:val="auto"/>
          <w:sz w:val="18"/>
          <w:szCs w:val="18"/>
        </w:rPr>
        <w:t>日</w:t>
      </w:r>
      <w:r>
        <w:rPr>
          <w:rFonts w:hAnsi="宋体"/>
          <w:color w:val="auto"/>
          <w:sz w:val="18"/>
          <w:szCs w:val="18"/>
        </w:rPr>
        <w:t>终</w:t>
      </w:r>
      <w:r>
        <w:rPr>
          <w:rFonts w:hAnsi="宋体" w:hint="eastAsia"/>
          <w:color w:val="auto"/>
          <w:sz w:val="18"/>
          <w:szCs w:val="18"/>
        </w:rPr>
        <w:t>产品份额净值</w:t>
      </w:r>
      <w:r>
        <w:rPr>
          <w:rFonts w:hAnsi="宋体"/>
          <w:color w:val="auto"/>
          <w:sz w:val="18"/>
          <w:szCs w:val="18"/>
        </w:rPr>
        <w:t>计算</w:t>
      </w:r>
      <w:r>
        <w:rPr>
          <w:rFonts w:hAnsi="宋体" w:hint="eastAsia"/>
          <w:color w:val="auto"/>
          <w:sz w:val="18"/>
          <w:szCs w:val="18"/>
        </w:rPr>
        <w:t>并确定可供分配的</w:t>
      </w:r>
      <w:r>
        <w:rPr>
          <w:rFonts w:hAnsi="宋体"/>
          <w:color w:val="auto"/>
          <w:sz w:val="18"/>
          <w:szCs w:val="18"/>
        </w:rPr>
        <w:t>投资</w:t>
      </w:r>
      <w:r>
        <w:rPr>
          <w:rFonts w:hAnsi="宋体" w:hint="eastAsia"/>
          <w:color w:val="auto"/>
          <w:sz w:val="18"/>
          <w:szCs w:val="18"/>
        </w:rPr>
        <w:t>期间</w:t>
      </w:r>
      <w:r>
        <w:rPr>
          <w:rFonts w:hAnsi="宋体"/>
          <w:color w:val="auto"/>
          <w:sz w:val="18"/>
          <w:szCs w:val="18"/>
        </w:rPr>
        <w:t>理财利益</w:t>
      </w:r>
      <w:r>
        <w:rPr>
          <w:rFonts w:hAnsi="宋体" w:hint="eastAsia"/>
          <w:color w:val="auto"/>
          <w:sz w:val="18"/>
          <w:szCs w:val="18"/>
        </w:rPr>
        <w:t>的日期。</w:t>
      </w:r>
    </w:p>
    <w:p w:rsidR="0089074A" w:rsidRDefault="00185114">
      <w:pPr>
        <w:pStyle w:val="Default"/>
        <w:spacing w:line="360" w:lineRule="auto"/>
        <w:ind w:firstLineChars="200" w:firstLine="360"/>
        <w:rPr>
          <w:rFonts w:hAnsi="宋体"/>
          <w:bCs/>
          <w:color w:val="auto"/>
          <w:sz w:val="18"/>
          <w:szCs w:val="18"/>
        </w:rPr>
      </w:pPr>
      <w:r>
        <w:rPr>
          <w:rFonts w:hAnsi="宋体" w:hint="eastAsia"/>
          <w:bCs/>
          <w:color w:val="auto"/>
          <w:sz w:val="18"/>
          <w:szCs w:val="18"/>
        </w:rPr>
        <w:t>（</w:t>
      </w:r>
      <w:r>
        <w:rPr>
          <w:rFonts w:hAnsi="宋体"/>
          <w:bCs/>
          <w:color w:val="auto"/>
          <w:sz w:val="18"/>
          <w:szCs w:val="18"/>
        </w:rPr>
        <w:t>8</w:t>
      </w:r>
      <w:r>
        <w:rPr>
          <w:rFonts w:hAnsi="宋体" w:hint="eastAsia"/>
          <w:bCs/>
          <w:color w:val="auto"/>
          <w:sz w:val="18"/>
          <w:szCs w:val="18"/>
        </w:rPr>
        <w:t>）分配日：指</w:t>
      </w:r>
      <w:r>
        <w:rPr>
          <w:rFonts w:asciiTheme="majorEastAsia" w:eastAsiaTheme="majorEastAsia" w:hAnsiTheme="majorEastAsia"/>
          <w:bCs/>
          <w:color w:val="auto"/>
          <w:sz w:val="18"/>
          <w:szCs w:val="18"/>
        </w:rPr>
        <w:t>产品管理人向投资者进行理财产品利益分配</w:t>
      </w:r>
      <w:r>
        <w:rPr>
          <w:rFonts w:hAnsi="宋体" w:hint="eastAsia"/>
          <w:bCs/>
          <w:color w:val="auto"/>
          <w:sz w:val="18"/>
          <w:szCs w:val="18"/>
        </w:rPr>
        <w:t>的日期。</w:t>
      </w:r>
    </w:p>
    <w:p w:rsidR="0089074A" w:rsidRDefault="00185114">
      <w:pPr>
        <w:pStyle w:val="Default"/>
        <w:spacing w:line="360" w:lineRule="auto"/>
        <w:ind w:firstLineChars="200" w:firstLine="360"/>
        <w:rPr>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9</w:t>
      </w:r>
      <w:r>
        <w:rPr>
          <w:rFonts w:asciiTheme="majorEastAsia" w:eastAsiaTheme="majorEastAsia" w:hAnsiTheme="majorEastAsia" w:hint="eastAsia"/>
          <w:bCs/>
          <w:color w:val="auto"/>
          <w:sz w:val="18"/>
          <w:szCs w:val="18"/>
        </w:rPr>
        <w:t>）募集期：指理财产品成立前，理财产品管理人接受理财产品认购的时间。</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lastRenderedPageBreak/>
        <w:t>（10）持有期：指自产品成立日/申购确认日起，投资者持有该产品份额的期间。</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（11）产品存续期：指自理财产品成立日起，至理财产品终止日的期间。</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（12）申购申请日：指投资者做出申购申请的当日。</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（13）赎回申请日：指投资者做出赎回申请的当日。</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（14）申购日：指产品管理人接受投资者申购申请的当日。</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（15）赎回日：指产品管理人接受投资者赎回申请的当日。</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（16）申购确认日：指产品管理人确认投资者申购</w:t>
      </w:r>
      <w:r>
        <w:rPr>
          <w:rFonts w:asciiTheme="majorEastAsia" w:eastAsiaTheme="majorEastAsia" w:hAnsiTheme="majorEastAsia"/>
          <w:bCs/>
          <w:color w:val="auto"/>
          <w:sz w:val="18"/>
          <w:szCs w:val="18"/>
        </w:rPr>
        <w:t>申请有效性</w:t>
      </w:r>
      <w:r>
        <w:rPr>
          <w:rFonts w:asciiTheme="majorEastAsia" w:eastAsiaTheme="majorEastAsia" w:hAnsiTheme="majorEastAsia" w:hint="eastAsia"/>
          <w:bCs/>
          <w:color w:val="auto"/>
          <w:sz w:val="18"/>
          <w:szCs w:val="18"/>
        </w:rPr>
        <w:t>的当日。</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（17）赎回确认日：指产品管理人确认投资者赎回</w:t>
      </w:r>
      <w:r>
        <w:rPr>
          <w:rFonts w:asciiTheme="majorEastAsia" w:eastAsiaTheme="majorEastAsia" w:hAnsiTheme="majorEastAsia"/>
          <w:bCs/>
          <w:color w:val="auto"/>
          <w:sz w:val="18"/>
          <w:szCs w:val="18"/>
        </w:rPr>
        <w:t>申请有效性</w:t>
      </w:r>
      <w:r>
        <w:rPr>
          <w:rFonts w:asciiTheme="majorEastAsia" w:eastAsiaTheme="majorEastAsia" w:hAnsiTheme="majorEastAsia" w:hint="eastAsia"/>
          <w:bCs/>
          <w:color w:val="auto"/>
          <w:sz w:val="18"/>
          <w:szCs w:val="18"/>
        </w:rPr>
        <w:t>的当日。</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8）清算期：指自本理财产品终止日至投资者理财利益到账日之间的期间。</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 xml:space="preserve">5. </w:t>
      </w:r>
      <w:r>
        <w:rPr>
          <w:rFonts w:asciiTheme="majorEastAsia" w:eastAsiaTheme="majorEastAsia" w:hAnsiTheme="majorEastAsia" w:hint="eastAsia"/>
          <w:b/>
          <w:bCs/>
          <w:color w:val="auto"/>
          <w:sz w:val="18"/>
          <w:szCs w:val="18"/>
        </w:rPr>
        <w:t>费用</w:t>
      </w:r>
    </w:p>
    <w:p w:rsidR="0089074A" w:rsidRDefault="00185114">
      <w:pPr>
        <w:pStyle w:val="Default"/>
        <w:spacing w:line="360" w:lineRule="auto"/>
        <w:ind w:firstLineChars="200" w:firstLine="360"/>
        <w:rPr>
          <w:rFonts w:hAnsi="宋体"/>
          <w:sz w:val="18"/>
          <w:szCs w:val="18"/>
        </w:rPr>
      </w:pPr>
      <w:r>
        <w:rPr>
          <w:rFonts w:hAnsi="宋体" w:hint="eastAsia"/>
          <w:sz w:val="18"/>
          <w:szCs w:val="18"/>
        </w:rPr>
        <w:t>（1）</w:t>
      </w:r>
      <w:r>
        <w:rPr>
          <w:rFonts w:ascii="黑体" w:eastAsia="黑体" w:hAnsi="黑体" w:cs="仿宋_GB2312" w:hint="eastAsia"/>
          <w:bCs/>
          <w:color w:val="auto"/>
          <w:sz w:val="18"/>
          <w:szCs w:val="18"/>
        </w:rPr>
        <w:t>★</w:t>
      </w:r>
      <w:r>
        <w:rPr>
          <w:rFonts w:hAnsi="宋体"/>
          <w:sz w:val="18"/>
          <w:szCs w:val="18"/>
        </w:rPr>
        <w:t>认购费：</w:t>
      </w:r>
      <w:r>
        <w:rPr>
          <w:rFonts w:hAnsi="宋体" w:hint="eastAsia"/>
          <w:sz w:val="18"/>
          <w:szCs w:val="18"/>
        </w:rPr>
        <w:t>指</w:t>
      </w:r>
      <w:r>
        <w:rPr>
          <w:rFonts w:hAnsi="宋体"/>
          <w:sz w:val="18"/>
          <w:szCs w:val="18"/>
        </w:rPr>
        <w:t>投资者认购产品时</w:t>
      </w:r>
      <w:r>
        <w:rPr>
          <w:rFonts w:hAnsi="宋体" w:hint="eastAsia"/>
          <w:sz w:val="18"/>
          <w:szCs w:val="18"/>
        </w:rPr>
        <w:t>需缴纳的费用。</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（2）</w:t>
      </w:r>
      <w:r>
        <w:rPr>
          <w:rFonts w:ascii="黑体" w:eastAsia="黑体" w:hAnsi="黑体" w:cs="仿宋_GB2312" w:hint="eastAsia"/>
          <w:bCs/>
          <w:sz w:val="18"/>
          <w:szCs w:val="18"/>
        </w:rPr>
        <w:t>★</w:t>
      </w:r>
      <w:r>
        <w:rPr>
          <w:rFonts w:ascii="宋体" w:hAnsi="宋体"/>
          <w:kern w:val="0"/>
          <w:sz w:val="18"/>
          <w:szCs w:val="18"/>
        </w:rPr>
        <w:t>申购费：</w:t>
      </w:r>
      <w:r>
        <w:rPr>
          <w:rFonts w:ascii="宋体" w:hAnsi="宋体" w:hint="eastAsia"/>
          <w:kern w:val="0"/>
          <w:sz w:val="18"/>
          <w:szCs w:val="18"/>
        </w:rPr>
        <w:t>指</w:t>
      </w:r>
      <w:r>
        <w:rPr>
          <w:rFonts w:ascii="宋体" w:hAnsi="宋体"/>
          <w:kern w:val="0"/>
          <w:sz w:val="18"/>
          <w:szCs w:val="18"/>
        </w:rPr>
        <w:t>投资者申购产品时</w:t>
      </w:r>
      <w:r>
        <w:rPr>
          <w:rFonts w:ascii="宋体" w:hAnsi="宋体" w:hint="eastAsia"/>
          <w:kern w:val="0"/>
          <w:sz w:val="18"/>
          <w:szCs w:val="18"/>
        </w:rPr>
        <w:t>需缴纳的费用。</w:t>
      </w:r>
    </w:p>
    <w:p w:rsidR="0089074A" w:rsidRDefault="00185114">
      <w:pPr>
        <w:pStyle w:val="Default"/>
        <w:spacing w:line="360" w:lineRule="auto"/>
        <w:ind w:firstLineChars="200" w:firstLine="360"/>
        <w:rPr>
          <w:rFonts w:hAnsi="宋体"/>
          <w:sz w:val="18"/>
          <w:szCs w:val="18"/>
        </w:rPr>
      </w:pPr>
      <w:r>
        <w:rPr>
          <w:rFonts w:hAnsi="宋体" w:hint="eastAsia"/>
          <w:sz w:val="18"/>
          <w:szCs w:val="18"/>
        </w:rPr>
        <w:t>（3）</w:t>
      </w:r>
      <w:r>
        <w:rPr>
          <w:rFonts w:ascii="黑体" w:eastAsia="黑体" w:hAnsi="黑体" w:cs="仿宋_GB2312" w:hint="eastAsia"/>
          <w:bCs/>
          <w:color w:val="auto"/>
          <w:sz w:val="18"/>
          <w:szCs w:val="18"/>
        </w:rPr>
        <w:t>★</w:t>
      </w:r>
      <w:r>
        <w:rPr>
          <w:rFonts w:hAnsi="宋体" w:hint="eastAsia"/>
          <w:sz w:val="18"/>
          <w:szCs w:val="18"/>
        </w:rPr>
        <w:t>赎回费：指投资者赎回产品时需缴纳的费用。</w:t>
      </w:r>
    </w:p>
    <w:p w:rsidR="0089074A" w:rsidRDefault="00185114">
      <w:pPr>
        <w:pStyle w:val="Default"/>
        <w:spacing w:line="360" w:lineRule="auto"/>
        <w:ind w:firstLineChars="200" w:firstLine="360"/>
        <w:rPr>
          <w:rFonts w:hAnsi="宋体"/>
          <w:sz w:val="18"/>
          <w:szCs w:val="18"/>
        </w:rPr>
      </w:pPr>
      <w:r>
        <w:rPr>
          <w:rFonts w:hAnsi="宋体" w:hint="eastAsia"/>
          <w:sz w:val="18"/>
          <w:szCs w:val="18"/>
        </w:rPr>
        <w:t>（4）</w:t>
      </w:r>
      <w:r>
        <w:rPr>
          <w:rFonts w:ascii="黑体" w:eastAsia="黑体" w:hAnsi="黑体" w:cs="仿宋_GB2312" w:hint="eastAsia"/>
          <w:bCs/>
          <w:color w:val="auto"/>
          <w:sz w:val="18"/>
          <w:szCs w:val="18"/>
        </w:rPr>
        <w:t>★</w:t>
      </w:r>
      <w:r>
        <w:rPr>
          <w:rFonts w:hAnsi="宋体" w:hint="eastAsia"/>
          <w:sz w:val="18"/>
          <w:szCs w:val="18"/>
        </w:rPr>
        <w:t>销售服务费：指因理财产品销售行为产生的费用。</w:t>
      </w:r>
    </w:p>
    <w:p w:rsidR="0089074A" w:rsidRDefault="00185114">
      <w:pPr>
        <w:pStyle w:val="Default"/>
        <w:spacing w:line="360" w:lineRule="auto"/>
        <w:ind w:firstLineChars="200" w:firstLine="360"/>
        <w:rPr>
          <w:rFonts w:hAnsi="宋体"/>
          <w:sz w:val="18"/>
          <w:szCs w:val="18"/>
        </w:rPr>
      </w:pPr>
      <w:r>
        <w:rPr>
          <w:rFonts w:hAnsi="宋体" w:hint="eastAsia"/>
          <w:sz w:val="18"/>
          <w:szCs w:val="18"/>
        </w:rPr>
        <w:t>（5）</w:t>
      </w:r>
      <w:r>
        <w:rPr>
          <w:rFonts w:ascii="黑体" w:eastAsia="黑体" w:hAnsi="黑体" w:cs="仿宋_GB2312" w:hint="eastAsia"/>
          <w:bCs/>
          <w:color w:val="auto"/>
          <w:sz w:val="18"/>
          <w:szCs w:val="18"/>
        </w:rPr>
        <w:t>★</w:t>
      </w:r>
      <w:r>
        <w:rPr>
          <w:rFonts w:hAnsi="宋体" w:hint="eastAsia"/>
          <w:sz w:val="18"/>
          <w:szCs w:val="18"/>
        </w:rPr>
        <w:t>投资管理费：指因理财产品投资管理产生的费用。</w:t>
      </w:r>
    </w:p>
    <w:p w:rsidR="0089074A" w:rsidRDefault="00185114">
      <w:pPr>
        <w:pStyle w:val="Default"/>
        <w:spacing w:line="360" w:lineRule="auto"/>
        <w:ind w:firstLineChars="200" w:firstLine="360"/>
        <w:rPr>
          <w:rFonts w:hAnsi="宋体"/>
          <w:sz w:val="18"/>
          <w:szCs w:val="18"/>
        </w:rPr>
      </w:pPr>
      <w:r>
        <w:rPr>
          <w:rFonts w:hAnsi="宋体" w:hint="eastAsia"/>
          <w:sz w:val="18"/>
          <w:szCs w:val="18"/>
        </w:rPr>
        <w:t>（6）</w:t>
      </w:r>
      <w:r>
        <w:rPr>
          <w:rFonts w:ascii="黑体" w:eastAsia="黑体" w:hAnsi="黑体" w:cs="仿宋_GB2312" w:hint="eastAsia"/>
          <w:bCs/>
          <w:color w:val="auto"/>
          <w:sz w:val="18"/>
          <w:szCs w:val="18"/>
        </w:rPr>
        <w:t>★</w:t>
      </w:r>
      <w:r>
        <w:rPr>
          <w:rFonts w:hAnsi="宋体" w:hint="eastAsia"/>
          <w:sz w:val="18"/>
          <w:szCs w:val="18"/>
        </w:rPr>
        <w:t>产品托管费：指因理财产品进行托管产生的费用。</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hAnsi="宋体" w:hint="eastAsia"/>
          <w:sz w:val="18"/>
          <w:szCs w:val="18"/>
        </w:rPr>
        <w:t>（7）</w:t>
      </w:r>
      <w:r>
        <w:rPr>
          <w:rFonts w:ascii="黑体" w:eastAsia="黑体" w:hAnsi="黑体" w:cs="仿宋_GB2312" w:hint="eastAsia"/>
          <w:bCs/>
          <w:color w:val="auto"/>
          <w:sz w:val="18"/>
          <w:szCs w:val="18"/>
        </w:rPr>
        <w:t>★</w:t>
      </w:r>
      <w:r>
        <w:rPr>
          <w:rFonts w:hAnsi="宋体" w:hint="eastAsia"/>
          <w:sz w:val="18"/>
          <w:szCs w:val="18"/>
        </w:rPr>
        <w:t>超额业绩报酬/业绩报酬：指产品管理人依照理财产品销售</w:t>
      </w:r>
      <w:r>
        <w:rPr>
          <w:rFonts w:hAnsi="宋体"/>
          <w:sz w:val="18"/>
          <w:szCs w:val="18"/>
        </w:rPr>
        <w:t>文件</w:t>
      </w:r>
      <w:r>
        <w:rPr>
          <w:rFonts w:hAnsi="宋体" w:hint="eastAsia"/>
          <w:sz w:val="18"/>
          <w:szCs w:val="18"/>
        </w:rPr>
        <w:t>约定规则收取的浮动性质的管理费用。</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 xml:space="preserve">6. </w:t>
      </w:r>
      <w:r>
        <w:rPr>
          <w:rFonts w:asciiTheme="majorEastAsia" w:eastAsiaTheme="majorEastAsia" w:hAnsiTheme="majorEastAsia" w:hint="eastAsia"/>
          <w:b/>
          <w:bCs/>
          <w:color w:val="auto"/>
          <w:sz w:val="18"/>
          <w:szCs w:val="18"/>
        </w:rPr>
        <w:t>其他</w:t>
      </w:r>
      <w:r>
        <w:rPr>
          <w:rFonts w:asciiTheme="majorEastAsia" w:eastAsiaTheme="majorEastAsia" w:hAnsiTheme="majorEastAsia"/>
          <w:b/>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元：指人民币元。</w:t>
      </w:r>
      <w:r>
        <w:rPr>
          <w:rFonts w:asciiTheme="majorEastAsia" w:eastAsiaTheme="majorEastAsia" w:hAnsiTheme="majorEastAsia"/>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）国家金融监督管理总局：为免歧义，原中国银行业监督管理委员会、原中国银行保险监督管理委员会与国家金融监督管理总局均统称为“国家金融监督管理总局”。</w:t>
      </w:r>
    </w:p>
    <w:p w:rsidR="0089074A" w:rsidRDefault="00185114">
      <w:pPr>
        <w:spacing w:line="360" w:lineRule="auto"/>
        <w:ind w:firstLineChars="200" w:firstLine="360"/>
      </w:pPr>
      <w:r>
        <w:rPr>
          <w:rFonts w:asciiTheme="majorEastAsia" w:eastAsiaTheme="majorEastAsia" w:hAnsiTheme="majorEastAsia" w:hint="eastAsia"/>
          <w:bCs/>
          <w:sz w:val="18"/>
          <w:szCs w:val="18"/>
        </w:rPr>
        <w:t>（3）适用法律：指在理财销售文件签署日和履行过程中，适用中华人民共和国法律（为本销售文件之目的，在此不包括香港、澳门特别行政区和台湾地区的法律），包括中国任何立法机构、政府部门、银行业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eastAsiaTheme="majorEastAsia" w:hAnsiTheme="majorEastAsia"/>
          <w:bCs/>
          <w:sz w:val="18"/>
          <w:szCs w:val="18"/>
        </w:rPr>
        <w:t>理财登记托管中心、</w:t>
      </w:r>
      <w:r>
        <w:rPr>
          <w:rFonts w:asciiTheme="majorEastAsia" w:eastAsiaTheme="majorEastAsia" w:hAnsiTheme="majorEastAsia" w:hint="eastAsia"/>
          <w:bCs/>
          <w:sz w:val="18"/>
          <w:szCs w:val="18"/>
        </w:rPr>
        <w:t>银行间交易商协会、证券交易所、证券登记结算机构、相关</w:t>
      </w:r>
      <w:r>
        <w:rPr>
          <w:rFonts w:asciiTheme="majorEastAsia" w:eastAsiaTheme="majorEastAsia" w:hAnsiTheme="majorEastAsia"/>
          <w:bCs/>
          <w:sz w:val="18"/>
          <w:szCs w:val="18"/>
        </w:rPr>
        <w:t>行</w:t>
      </w:r>
      <w:r>
        <w:rPr>
          <w:rFonts w:asciiTheme="majorEastAsia" w:eastAsiaTheme="majorEastAsia" w:hAnsiTheme="majorEastAsia" w:hint="eastAsia"/>
          <w:bCs/>
          <w:sz w:val="18"/>
          <w:szCs w:val="18"/>
        </w:rPr>
        <w:t>业协会依法颁布的，适用于本理财产品相关事宜的法律、行政法规、地方法规、部委规章、地方政府规章、规范性文件、规则、通知、须知、业务指南、指引或操作规程，及其有效的修改、更新或补充。</w:t>
      </w:r>
    </w:p>
    <w:p w:rsidR="0089074A" w:rsidRDefault="00185114">
      <w:pPr>
        <w:widowControl/>
        <w:spacing w:line="360" w:lineRule="auto"/>
        <w:jc w:val="left"/>
        <w:rPr>
          <w:rFonts w:ascii="宋体" w:hAnsi="宋体"/>
          <w:color w:val="000000"/>
          <w:kern w:val="0"/>
          <w:sz w:val="28"/>
          <w:szCs w:val="28"/>
        </w:rPr>
      </w:pPr>
      <w:r>
        <w:rPr>
          <w:rFonts w:hAnsi="宋体"/>
          <w:sz w:val="28"/>
          <w:szCs w:val="28"/>
        </w:rPr>
        <w:br w:type="page"/>
      </w:r>
    </w:p>
    <w:p w:rsidR="0089074A" w:rsidRDefault="00185114">
      <w:pPr>
        <w:pStyle w:val="1"/>
        <w:spacing w:before="0" w:after="0" w:line="360" w:lineRule="auto"/>
        <w:jc w:val="center"/>
        <w:rPr>
          <w:rFonts w:hAnsi="宋体"/>
          <w:sz w:val="28"/>
          <w:szCs w:val="28"/>
        </w:rPr>
      </w:pPr>
      <w:bookmarkStart w:id="5" w:name="_Toc79154665"/>
      <w:bookmarkStart w:id="6" w:name="_Toc3887"/>
      <w:bookmarkStart w:id="7" w:name="_Toc103260529"/>
      <w:bookmarkStart w:id="8" w:name="_Toc92377131"/>
      <w:r>
        <w:rPr>
          <w:rFonts w:hAnsi="宋体" w:hint="eastAsia"/>
          <w:sz w:val="28"/>
          <w:szCs w:val="28"/>
        </w:rPr>
        <w:lastRenderedPageBreak/>
        <w:t>第二条</w:t>
      </w:r>
      <w:r>
        <w:rPr>
          <w:rFonts w:hAnsi="宋体" w:hint="eastAsia"/>
          <w:sz w:val="28"/>
          <w:szCs w:val="28"/>
        </w:rPr>
        <w:t xml:space="preserve">  </w:t>
      </w:r>
      <w:r>
        <w:rPr>
          <w:rFonts w:hAnsi="宋体" w:hint="eastAsia"/>
          <w:sz w:val="28"/>
          <w:szCs w:val="28"/>
        </w:rPr>
        <w:t>理财产品基本情况</w:t>
      </w:r>
      <w:bookmarkEnd w:id="5"/>
      <w:bookmarkEnd w:id="6"/>
      <w:bookmarkEnd w:id="7"/>
      <w:bookmarkEnd w:id="8"/>
      <w:r>
        <w:rPr>
          <w:rFonts w:hAnsi="宋体" w:hint="eastAsia"/>
          <w:sz w:val="28"/>
          <w:szCs w:val="28"/>
        </w:rPr>
        <w:t xml:space="preserve"> </w:t>
      </w:r>
    </w:p>
    <w:tbl>
      <w:tblPr>
        <w:tblW w:w="9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solid" w:color="FFFFFF" w:fill="FFFFFF"/>
        <w:tblLayout w:type="fixed"/>
        <w:tblLook w:val="04A0" w:firstRow="1" w:lastRow="0" w:firstColumn="1" w:lastColumn="0" w:noHBand="0" w:noVBand="1"/>
      </w:tblPr>
      <w:tblGrid>
        <w:gridCol w:w="1945"/>
        <w:gridCol w:w="7704"/>
      </w:tblGrid>
      <w:tr w:rsidR="0089074A">
        <w:trPr>
          <w:trHeight w:val="401"/>
          <w:jc w:val="center"/>
        </w:trPr>
        <w:tc>
          <w:tcPr>
            <w:tcW w:w="1945" w:type="dxa"/>
            <w:shd w:val="solid" w:color="FFFFFF" w:fill="FFFFFF"/>
          </w:tcPr>
          <w:p w:rsidR="0089074A" w:rsidRDefault="00185114">
            <w:pPr>
              <w:spacing w:line="360" w:lineRule="auto"/>
              <w:jc w:val="left"/>
              <w:rPr>
                <w:rFonts w:ascii="宋体" w:hAnsi="宋体"/>
                <w:b/>
                <w:bCs/>
                <w:sz w:val="18"/>
                <w:szCs w:val="18"/>
              </w:rPr>
            </w:pPr>
            <w:permStart w:id="195263156" w:edGrp="everyone"/>
            <w:r>
              <w:rPr>
                <w:rFonts w:hAnsi="宋体" w:hint="eastAsia"/>
                <w:sz w:val="18"/>
                <w:szCs w:val="18"/>
              </w:rPr>
              <w:t>★</w:t>
            </w:r>
            <w:r>
              <w:rPr>
                <w:rFonts w:ascii="宋体" w:hAnsi="宋体" w:hint="eastAsia"/>
                <w:b/>
                <w:bCs/>
                <w:sz w:val="18"/>
                <w:szCs w:val="18"/>
              </w:rPr>
              <w:t>理财产品名称</w:t>
            </w:r>
          </w:p>
        </w:tc>
        <w:tc>
          <w:tcPr>
            <w:tcW w:w="7704" w:type="dxa"/>
            <w:shd w:val="solid" w:color="FFFFFF" w:fill="FFFFFF"/>
            <w:vAlign w:val="center"/>
          </w:tcPr>
          <w:p w:rsidR="0089074A" w:rsidRDefault="00185114">
            <w:pPr>
              <w:spacing w:line="360" w:lineRule="auto"/>
              <w:jc w:val="left"/>
              <w:rPr>
                <w:rFonts w:ascii="宋体" w:hAnsi="宋体"/>
                <w:bCs/>
                <w:color w:val="000000" w:themeColor="text1"/>
                <w:sz w:val="18"/>
                <w:szCs w:val="18"/>
              </w:rPr>
            </w:pPr>
            <w:r>
              <w:rPr>
                <w:rFonts w:ascii="宋体" w:hAnsi="宋体" w:hint="eastAsia"/>
                <w:bCs/>
                <w:color w:val="000000" w:themeColor="text1"/>
                <w:sz w:val="18"/>
                <w:szCs w:val="18"/>
              </w:rPr>
              <w:t>【</w:t>
            </w:r>
            <w:r w:rsidR="00B731D0" w:rsidRPr="00B731D0">
              <w:rPr>
                <w:rFonts w:ascii="宋体" w:hAnsi="宋体" w:hint="eastAsia"/>
                <w:bCs/>
                <w:sz w:val="18"/>
                <w:szCs w:val="18"/>
              </w:rPr>
              <w:t>兴银理财稳添利日盈增利41号日开固收类理财产品</w:t>
            </w:r>
            <w:r>
              <w:rPr>
                <w:rFonts w:ascii="宋体" w:hAnsi="宋体" w:hint="eastAsia"/>
                <w:bCs/>
                <w:color w:val="000000" w:themeColor="text1"/>
                <w:sz w:val="18"/>
                <w:szCs w:val="18"/>
              </w:rPr>
              <w:t>】</w:t>
            </w:r>
          </w:p>
        </w:tc>
      </w:tr>
      <w:tr w:rsidR="0089074A">
        <w:trPr>
          <w:trHeight w:val="383"/>
          <w:jc w:val="center"/>
        </w:trPr>
        <w:tc>
          <w:tcPr>
            <w:tcW w:w="1945" w:type="dxa"/>
            <w:shd w:val="solid" w:color="FFFFFF" w:fill="FFFFFF"/>
          </w:tcPr>
          <w:p w:rsidR="0089074A" w:rsidRDefault="00185114">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产品销售名称</w:t>
            </w:r>
          </w:p>
        </w:tc>
        <w:tc>
          <w:tcPr>
            <w:tcW w:w="7704" w:type="dxa"/>
            <w:shd w:val="solid" w:color="FFFFFF" w:fill="FFFFFF"/>
            <w:vAlign w:val="center"/>
          </w:tcPr>
          <w:p w:rsidR="0089074A" w:rsidRDefault="00185114">
            <w:pPr>
              <w:spacing w:line="360" w:lineRule="auto"/>
              <w:jc w:val="left"/>
              <w:rPr>
                <w:rFonts w:ascii="宋体" w:hAnsi="宋体"/>
                <w:bCs/>
                <w:color w:val="000000" w:themeColor="text1"/>
                <w:sz w:val="18"/>
                <w:szCs w:val="18"/>
              </w:rPr>
            </w:pPr>
            <w:r>
              <w:rPr>
                <w:rFonts w:ascii="宋体" w:hAnsi="宋体" w:hint="eastAsia"/>
                <w:bCs/>
                <w:color w:val="000000" w:themeColor="text1"/>
                <w:sz w:val="18"/>
                <w:szCs w:val="18"/>
              </w:rPr>
              <w:t>【</w:t>
            </w:r>
            <w:r w:rsidR="00B731D0" w:rsidRPr="00B731D0">
              <w:rPr>
                <w:rFonts w:ascii="宋体" w:hAnsi="宋体" w:hint="eastAsia"/>
                <w:bCs/>
                <w:color w:val="000000" w:themeColor="text1"/>
                <w:sz w:val="18"/>
                <w:szCs w:val="18"/>
              </w:rPr>
              <w:t>稳添利日盈增利稳享41号A（兴普惠）</w:t>
            </w:r>
            <w:r>
              <w:rPr>
                <w:rFonts w:ascii="宋体" w:hAnsi="宋体" w:hint="eastAsia"/>
                <w:bCs/>
                <w:color w:val="000000" w:themeColor="text1"/>
                <w:sz w:val="18"/>
                <w:szCs w:val="18"/>
              </w:rPr>
              <w:t>】（适用【A】类份额）</w:t>
            </w:r>
          </w:p>
        </w:tc>
      </w:tr>
      <w:tr w:rsidR="0089074A">
        <w:trPr>
          <w:trHeight w:val="251"/>
          <w:jc w:val="center"/>
        </w:trPr>
        <w:tc>
          <w:tcPr>
            <w:tcW w:w="1945" w:type="dxa"/>
            <w:shd w:val="solid" w:color="FFFFFF" w:fill="FFFFFF"/>
          </w:tcPr>
          <w:p w:rsidR="0089074A" w:rsidRDefault="00185114">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产品登记编码</w:t>
            </w:r>
          </w:p>
        </w:tc>
        <w:tc>
          <w:tcPr>
            <w:tcW w:w="7704" w:type="dxa"/>
            <w:shd w:val="solid" w:color="FFFFFF" w:fill="FFFFFF"/>
            <w:vAlign w:val="center"/>
          </w:tcPr>
          <w:p w:rsidR="0089074A" w:rsidRDefault="00185114">
            <w:pPr>
              <w:spacing w:line="360" w:lineRule="auto"/>
              <w:jc w:val="left"/>
              <w:rPr>
                <w:rFonts w:ascii="宋体" w:hAnsi="宋体"/>
                <w:bCs/>
                <w:color w:val="000000" w:themeColor="text1"/>
                <w:sz w:val="18"/>
                <w:szCs w:val="18"/>
              </w:rPr>
            </w:pPr>
            <w:r>
              <w:rPr>
                <w:rFonts w:ascii="宋体" w:hAnsi="宋体" w:hint="eastAsia"/>
                <w:bCs/>
                <w:color w:val="000000" w:themeColor="text1"/>
                <w:sz w:val="18"/>
                <w:szCs w:val="18"/>
              </w:rPr>
              <w:t>【</w:t>
            </w:r>
            <w:r w:rsidR="00B731D0" w:rsidRPr="00B731D0">
              <w:rPr>
                <w:rFonts w:ascii="宋体" w:hAnsi="宋体"/>
                <w:bCs/>
                <w:color w:val="000000" w:themeColor="text1"/>
                <w:sz w:val="18"/>
                <w:szCs w:val="18"/>
              </w:rPr>
              <w:t>Z7002024000948</w:t>
            </w:r>
            <w:r>
              <w:rPr>
                <w:rFonts w:ascii="宋体" w:hAnsi="宋体" w:hint="eastAsia"/>
                <w:bCs/>
                <w:color w:val="000000" w:themeColor="text1"/>
                <w:sz w:val="18"/>
                <w:szCs w:val="18"/>
              </w:rPr>
              <w:t>】投资者可依据理财产品登记编码在中国理财网(www.chinawealth.com.cn）查询产品信息。</w:t>
            </w:r>
          </w:p>
        </w:tc>
      </w:tr>
      <w:tr w:rsidR="0089074A">
        <w:trPr>
          <w:trHeight w:val="251"/>
          <w:jc w:val="center"/>
        </w:trPr>
        <w:tc>
          <w:tcPr>
            <w:tcW w:w="1945" w:type="dxa"/>
            <w:shd w:val="solid" w:color="FFFFFF" w:fill="FFFFFF"/>
            <w:vAlign w:val="center"/>
          </w:tcPr>
          <w:p w:rsidR="0089074A" w:rsidRDefault="00185114">
            <w:pPr>
              <w:spacing w:line="360" w:lineRule="auto"/>
              <w:jc w:val="left"/>
              <w:rPr>
                <w:rFonts w:ascii="宋体" w:hAnsi="宋体"/>
                <w:b/>
                <w:bCs/>
                <w:sz w:val="18"/>
                <w:szCs w:val="18"/>
              </w:rPr>
            </w:pPr>
            <w:r>
              <w:rPr>
                <w:rFonts w:hAnsi="宋体" w:hint="eastAsia"/>
                <w:sz w:val="18"/>
                <w:szCs w:val="18"/>
              </w:rPr>
              <w:t>★</w:t>
            </w:r>
            <w:r>
              <w:rPr>
                <w:rFonts w:ascii="宋体" w:hAnsi="宋体" w:hint="eastAsia"/>
                <w:b/>
                <w:bCs/>
                <w:sz w:val="18"/>
                <w:szCs w:val="18"/>
              </w:rPr>
              <w:t>产品代码</w:t>
            </w:r>
          </w:p>
        </w:tc>
        <w:tc>
          <w:tcPr>
            <w:tcW w:w="7704" w:type="dxa"/>
            <w:shd w:val="solid" w:color="FFFFFF" w:fill="FFFFFF"/>
            <w:vAlign w:val="center"/>
          </w:tcPr>
          <w:p w:rsidR="0089074A" w:rsidRDefault="00185114" w:rsidP="004D6971">
            <w:pPr>
              <w:spacing w:line="360" w:lineRule="auto"/>
              <w:jc w:val="left"/>
              <w:rPr>
                <w:rFonts w:ascii="宋体" w:hAnsi="宋体"/>
                <w:bCs/>
                <w:color w:val="000000" w:themeColor="text1"/>
                <w:sz w:val="18"/>
                <w:szCs w:val="18"/>
              </w:rPr>
            </w:pPr>
            <w:r>
              <w:rPr>
                <w:rFonts w:ascii="宋体" w:hAnsi="宋体"/>
                <w:bCs/>
                <w:color w:val="000000" w:themeColor="text1"/>
                <w:sz w:val="18"/>
                <w:szCs w:val="18"/>
              </w:rPr>
              <w:t>【</w:t>
            </w:r>
            <w:r w:rsidR="00B731D0" w:rsidRPr="00B731D0">
              <w:rPr>
                <w:rFonts w:ascii="宋体" w:hAnsi="宋体"/>
                <w:bCs/>
                <w:color w:val="000000" w:themeColor="text1"/>
                <w:sz w:val="18"/>
                <w:szCs w:val="18"/>
              </w:rPr>
              <w:t>9K921410</w:t>
            </w:r>
            <w:r>
              <w:rPr>
                <w:rFonts w:ascii="宋体" w:hAnsi="宋体"/>
                <w:bCs/>
                <w:color w:val="000000" w:themeColor="text1"/>
                <w:sz w:val="18"/>
                <w:szCs w:val="18"/>
              </w:rPr>
              <w:t>】</w:t>
            </w:r>
          </w:p>
        </w:tc>
      </w:tr>
      <w:tr w:rsidR="0089074A">
        <w:trPr>
          <w:trHeight w:val="251"/>
          <w:jc w:val="center"/>
        </w:trPr>
        <w:tc>
          <w:tcPr>
            <w:tcW w:w="1945" w:type="dxa"/>
            <w:shd w:val="solid" w:color="FFFFFF" w:fill="FFFFFF"/>
          </w:tcPr>
          <w:p w:rsidR="0089074A" w:rsidRDefault="00185114">
            <w:pPr>
              <w:spacing w:line="360" w:lineRule="auto"/>
              <w:jc w:val="left"/>
              <w:rPr>
                <w:rFonts w:hAnsi="宋体"/>
                <w:b/>
                <w:sz w:val="18"/>
                <w:szCs w:val="18"/>
              </w:rPr>
            </w:pPr>
            <w:r>
              <w:rPr>
                <w:rFonts w:hAnsi="宋体" w:hint="eastAsia"/>
                <w:b/>
                <w:sz w:val="18"/>
                <w:szCs w:val="18"/>
              </w:rPr>
              <w:t>★销售代码</w:t>
            </w:r>
          </w:p>
        </w:tc>
        <w:tc>
          <w:tcPr>
            <w:tcW w:w="7704" w:type="dxa"/>
            <w:shd w:val="solid" w:color="FFFFFF" w:fill="FFFFFF"/>
            <w:vAlign w:val="center"/>
          </w:tcPr>
          <w:p w:rsidR="0089074A" w:rsidRDefault="00185114">
            <w:pPr>
              <w:spacing w:line="360" w:lineRule="auto"/>
              <w:jc w:val="left"/>
              <w:rPr>
                <w:rFonts w:ascii="宋体" w:hAnsi="宋体"/>
                <w:bCs/>
                <w:color w:val="000000" w:themeColor="text1"/>
                <w:sz w:val="18"/>
                <w:szCs w:val="18"/>
              </w:rPr>
            </w:pPr>
            <w:r>
              <w:rPr>
                <w:rFonts w:ascii="宋体" w:hAnsi="宋体"/>
                <w:bCs/>
                <w:color w:val="000000" w:themeColor="text1"/>
                <w:sz w:val="18"/>
                <w:szCs w:val="18"/>
              </w:rPr>
              <w:t>【</w:t>
            </w:r>
            <w:r w:rsidR="00B731D0" w:rsidRPr="00B731D0">
              <w:rPr>
                <w:rFonts w:ascii="宋体" w:hAnsi="宋体"/>
                <w:bCs/>
                <w:color w:val="000000" w:themeColor="text1"/>
                <w:sz w:val="18"/>
                <w:szCs w:val="18"/>
              </w:rPr>
              <w:t>9K92141A</w:t>
            </w:r>
            <w:r>
              <w:rPr>
                <w:rFonts w:ascii="宋体" w:hAnsi="宋体"/>
                <w:bCs/>
                <w:color w:val="000000" w:themeColor="text1"/>
                <w:sz w:val="18"/>
                <w:szCs w:val="18"/>
              </w:rPr>
              <w:t>】</w:t>
            </w:r>
            <w:r>
              <w:rPr>
                <w:rFonts w:ascii="宋体" w:hAnsi="宋体" w:hint="eastAsia"/>
                <w:bCs/>
                <w:color w:val="000000" w:themeColor="text1"/>
                <w:sz w:val="18"/>
                <w:szCs w:val="18"/>
              </w:rPr>
              <w:t>（适用【A】类份额）</w:t>
            </w:r>
          </w:p>
        </w:tc>
      </w:tr>
      <w:tr w:rsidR="0089074A">
        <w:trPr>
          <w:trHeight w:val="251"/>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hAnsi="宋体" w:hint="eastAsia"/>
                <w:sz w:val="18"/>
                <w:szCs w:val="18"/>
              </w:rPr>
              <w:t>★</w:t>
            </w:r>
            <w:r>
              <w:rPr>
                <w:rFonts w:hAnsi="宋体" w:hint="eastAsia"/>
                <w:b/>
                <w:sz w:val="18"/>
                <w:szCs w:val="18"/>
              </w:rPr>
              <w:t>产品</w:t>
            </w:r>
            <w:r>
              <w:rPr>
                <w:rFonts w:hAnsi="宋体"/>
                <w:b/>
                <w:sz w:val="18"/>
                <w:szCs w:val="18"/>
              </w:rPr>
              <w:t>份额类别</w:t>
            </w:r>
          </w:p>
        </w:tc>
        <w:tc>
          <w:tcPr>
            <w:tcW w:w="7704" w:type="dxa"/>
            <w:shd w:val="solid" w:color="FFFFFF" w:fill="FFFFFF"/>
            <w:vAlign w:val="center"/>
          </w:tcPr>
          <w:p w:rsidR="0089074A" w:rsidRDefault="00185114">
            <w:pPr>
              <w:spacing w:line="360" w:lineRule="auto"/>
              <w:rPr>
                <w:rFonts w:ascii="宋体" w:hAnsi="宋体"/>
                <w:bCs/>
                <w:sz w:val="18"/>
                <w:szCs w:val="18"/>
              </w:rPr>
            </w:pPr>
            <w:r>
              <w:rPr>
                <w:rFonts w:ascii="宋体" w:hAnsi="宋体"/>
                <w:bCs/>
                <w:sz w:val="18"/>
                <w:szCs w:val="18"/>
              </w:rPr>
              <w:t>1</w:t>
            </w:r>
            <w:r>
              <w:rPr>
                <w:rFonts w:ascii="宋体" w:hAnsi="宋体" w:hint="eastAsia"/>
                <w:bCs/>
                <w:sz w:val="18"/>
                <w:szCs w:val="18"/>
              </w:rPr>
              <w:t>.本产品根据投资者购买理财产品的金额、</w:t>
            </w:r>
            <w:r>
              <w:rPr>
                <w:rFonts w:ascii="宋体" w:hAnsi="宋体"/>
                <w:bCs/>
                <w:sz w:val="18"/>
                <w:szCs w:val="18"/>
              </w:rPr>
              <w:t>投资者</w:t>
            </w:r>
            <w:r>
              <w:rPr>
                <w:rFonts w:ascii="宋体" w:hAnsi="宋体" w:hint="eastAsia"/>
                <w:bCs/>
                <w:sz w:val="18"/>
                <w:szCs w:val="18"/>
              </w:rPr>
              <w:t>类型、</w:t>
            </w:r>
            <w:r>
              <w:rPr>
                <w:rFonts w:ascii="宋体" w:hAnsi="宋体"/>
                <w:bCs/>
                <w:sz w:val="18"/>
                <w:szCs w:val="18"/>
              </w:rPr>
              <w:t>销售渠道</w:t>
            </w:r>
            <w:r>
              <w:rPr>
                <w:rFonts w:ascii="宋体" w:hAnsi="宋体" w:hint="eastAsia"/>
                <w:bCs/>
                <w:sz w:val="18"/>
                <w:szCs w:val="18"/>
              </w:rPr>
              <w:t>等因素，对投资者所持有的理财产品份额设置不同的理财产品份额类别。</w:t>
            </w:r>
          </w:p>
          <w:p w:rsidR="0089074A" w:rsidRDefault="00185114">
            <w:pPr>
              <w:spacing w:line="360" w:lineRule="auto"/>
              <w:rPr>
                <w:rFonts w:ascii="宋体" w:hAnsi="宋体"/>
                <w:bCs/>
                <w:sz w:val="18"/>
                <w:szCs w:val="18"/>
              </w:rPr>
            </w:pPr>
            <w:r>
              <w:rPr>
                <w:rFonts w:ascii="宋体" w:hAnsi="宋体"/>
                <w:bCs/>
                <w:sz w:val="18"/>
                <w:szCs w:val="18"/>
              </w:rPr>
              <w:t>2</w:t>
            </w:r>
            <w:r>
              <w:rPr>
                <w:rFonts w:ascii="宋体" w:hAnsi="宋体" w:hint="eastAsia"/>
                <w:bCs/>
                <w:sz w:val="18"/>
                <w:szCs w:val="18"/>
              </w:rPr>
              <w:t>.本产品设置不同的理财产品份额，每类理财产品份额以下内容可能单独设置：</w:t>
            </w:r>
          </w:p>
          <w:p w:rsidR="0089074A" w:rsidRDefault="00185114">
            <w:pPr>
              <w:spacing w:line="360" w:lineRule="auto"/>
              <w:rPr>
                <w:rFonts w:ascii="宋体" w:hAnsi="宋体"/>
                <w:bCs/>
                <w:sz w:val="18"/>
                <w:szCs w:val="18"/>
              </w:rPr>
            </w:pPr>
            <w:r>
              <w:rPr>
                <w:rFonts w:ascii="宋体" w:hAnsi="宋体" w:hint="eastAsia"/>
                <w:bCs/>
                <w:sz w:val="18"/>
                <w:szCs w:val="18"/>
              </w:rPr>
              <w:t>（1）销售名称</w:t>
            </w:r>
          </w:p>
          <w:p w:rsidR="0089074A" w:rsidRDefault="00185114">
            <w:pPr>
              <w:spacing w:line="360" w:lineRule="auto"/>
              <w:rPr>
                <w:rFonts w:ascii="宋体" w:hAnsi="宋体"/>
                <w:bCs/>
                <w:sz w:val="18"/>
                <w:szCs w:val="18"/>
              </w:rPr>
            </w:pPr>
            <w:r>
              <w:rPr>
                <w:rFonts w:ascii="宋体" w:hAnsi="宋体" w:hint="eastAsia"/>
                <w:bCs/>
                <w:sz w:val="18"/>
                <w:szCs w:val="18"/>
              </w:rPr>
              <w:t>（2）收费方式</w:t>
            </w:r>
          </w:p>
          <w:p w:rsidR="0089074A" w:rsidRDefault="00185114">
            <w:pPr>
              <w:spacing w:line="360" w:lineRule="auto"/>
              <w:rPr>
                <w:rFonts w:ascii="宋体" w:hAnsi="宋体"/>
                <w:bCs/>
                <w:sz w:val="18"/>
                <w:szCs w:val="18"/>
              </w:rPr>
            </w:pPr>
            <w:r>
              <w:rPr>
                <w:rFonts w:ascii="宋体" w:hAnsi="宋体" w:hint="eastAsia"/>
                <w:bCs/>
                <w:sz w:val="18"/>
                <w:szCs w:val="18"/>
              </w:rPr>
              <w:t>（3）销售服务费</w:t>
            </w:r>
          </w:p>
          <w:p w:rsidR="0089074A" w:rsidRDefault="00185114">
            <w:pPr>
              <w:spacing w:line="360" w:lineRule="auto"/>
              <w:rPr>
                <w:rFonts w:ascii="宋体" w:hAnsi="宋体"/>
                <w:bCs/>
                <w:sz w:val="18"/>
                <w:szCs w:val="18"/>
              </w:rPr>
            </w:pPr>
            <w:r>
              <w:rPr>
                <w:rFonts w:ascii="宋体" w:hAnsi="宋体" w:hint="eastAsia"/>
                <w:bCs/>
                <w:sz w:val="18"/>
                <w:szCs w:val="18"/>
              </w:rPr>
              <w:t>（4）销售代码</w:t>
            </w:r>
          </w:p>
          <w:p w:rsidR="0089074A" w:rsidRDefault="00185114">
            <w:pPr>
              <w:spacing w:line="360" w:lineRule="auto"/>
              <w:rPr>
                <w:rFonts w:ascii="宋体" w:hAnsi="宋体"/>
                <w:bCs/>
                <w:sz w:val="18"/>
                <w:szCs w:val="18"/>
              </w:rPr>
            </w:pPr>
            <w:r>
              <w:rPr>
                <w:rFonts w:ascii="宋体" w:hAnsi="宋体" w:hint="eastAsia"/>
                <w:bCs/>
                <w:sz w:val="18"/>
                <w:szCs w:val="18"/>
              </w:rPr>
              <w:t>（5）销售对象</w:t>
            </w:r>
          </w:p>
          <w:p w:rsidR="0089074A" w:rsidRDefault="00185114">
            <w:pPr>
              <w:spacing w:line="360" w:lineRule="auto"/>
              <w:rPr>
                <w:rFonts w:ascii="宋体" w:hAnsi="宋体"/>
                <w:bCs/>
                <w:sz w:val="18"/>
                <w:szCs w:val="18"/>
              </w:rPr>
            </w:pPr>
            <w:r>
              <w:rPr>
                <w:rFonts w:ascii="宋体" w:hAnsi="宋体" w:hint="eastAsia"/>
                <w:bCs/>
                <w:sz w:val="18"/>
                <w:szCs w:val="18"/>
              </w:rPr>
              <w:t>（6）销售起点金额（认购、申购的起点金额）</w:t>
            </w:r>
          </w:p>
          <w:p w:rsidR="0089074A" w:rsidRDefault="00185114">
            <w:pPr>
              <w:spacing w:line="360" w:lineRule="auto"/>
              <w:rPr>
                <w:rFonts w:ascii="宋体" w:hAnsi="宋体"/>
                <w:bCs/>
                <w:sz w:val="18"/>
                <w:szCs w:val="18"/>
              </w:rPr>
            </w:pPr>
            <w:r>
              <w:rPr>
                <w:rFonts w:ascii="宋体" w:hAnsi="宋体" w:hint="eastAsia"/>
                <w:bCs/>
                <w:sz w:val="18"/>
                <w:szCs w:val="18"/>
              </w:rPr>
              <w:t>（7）投资者认购、申购和赎回的数量限制</w:t>
            </w:r>
          </w:p>
          <w:p w:rsidR="0089074A" w:rsidRDefault="00185114">
            <w:pPr>
              <w:spacing w:line="360" w:lineRule="auto"/>
              <w:rPr>
                <w:rFonts w:ascii="宋体" w:hAnsi="宋体"/>
                <w:bCs/>
                <w:sz w:val="18"/>
                <w:szCs w:val="18"/>
              </w:rPr>
            </w:pPr>
            <w:r>
              <w:rPr>
                <w:rFonts w:ascii="宋体" w:hAnsi="宋体" w:hint="eastAsia"/>
                <w:bCs/>
                <w:sz w:val="18"/>
                <w:szCs w:val="18"/>
              </w:rPr>
              <w:t>（8）投资者</w:t>
            </w:r>
            <w:r>
              <w:rPr>
                <w:rFonts w:asciiTheme="minorEastAsia" w:hAnsiTheme="minorEastAsia" w:hint="eastAsia"/>
                <w:bCs/>
                <w:sz w:val="18"/>
                <w:szCs w:val="18"/>
              </w:rPr>
              <w:t>持有本产品的最高限额、最低限额</w:t>
            </w:r>
          </w:p>
          <w:p w:rsidR="0089074A" w:rsidRDefault="00185114">
            <w:pPr>
              <w:spacing w:line="360" w:lineRule="auto"/>
              <w:rPr>
                <w:rFonts w:ascii="宋体" w:hAnsi="宋体"/>
                <w:bCs/>
                <w:sz w:val="18"/>
                <w:szCs w:val="18"/>
              </w:rPr>
            </w:pPr>
            <w:r>
              <w:rPr>
                <w:rFonts w:ascii="宋体" w:hAnsi="宋体" w:hint="eastAsia"/>
                <w:bCs/>
                <w:sz w:val="18"/>
                <w:szCs w:val="18"/>
              </w:rPr>
              <w:t>（9）分别计算和公告产品份额净值</w:t>
            </w:r>
          </w:p>
          <w:p w:rsidR="0089074A" w:rsidRDefault="00185114">
            <w:pPr>
              <w:spacing w:line="360" w:lineRule="auto"/>
              <w:rPr>
                <w:rFonts w:ascii="宋体" w:hAnsi="宋体"/>
                <w:bCs/>
                <w:sz w:val="18"/>
                <w:szCs w:val="18"/>
              </w:rPr>
            </w:pPr>
            <w:r>
              <w:rPr>
                <w:rFonts w:ascii="宋体" w:hAnsi="宋体"/>
                <w:bCs/>
                <w:sz w:val="18"/>
                <w:szCs w:val="18"/>
              </w:rPr>
              <w:t>3</w:t>
            </w:r>
            <w:r>
              <w:rPr>
                <w:rFonts w:ascii="宋体" w:hAnsi="宋体" w:hint="eastAsia"/>
                <w:bCs/>
                <w:sz w:val="18"/>
                <w:szCs w:val="18"/>
              </w:rPr>
              <w:t>.投资者可根据实际情况自行选择认购的产品份额类别。</w:t>
            </w:r>
          </w:p>
          <w:p w:rsidR="0089074A" w:rsidRDefault="00185114">
            <w:pPr>
              <w:spacing w:line="360" w:lineRule="auto"/>
              <w:rPr>
                <w:rFonts w:ascii="宋体" w:hAnsi="宋体"/>
                <w:b/>
                <w:bCs/>
                <w:sz w:val="18"/>
                <w:szCs w:val="18"/>
              </w:rPr>
            </w:pPr>
            <w:r>
              <w:rPr>
                <w:rFonts w:ascii="黑体" w:eastAsia="黑体" w:hAnsi="黑体" w:hint="eastAsia"/>
                <w:sz w:val="18"/>
                <w:szCs w:val="18"/>
              </w:rPr>
              <w:t>注：本产品说明书所列示产品份额类别仅为本产品项下某一类产品份额。其他类别的产品份额情况以产品管理人披露为准。</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hAnsi="宋体" w:hint="eastAsia"/>
                <w:sz w:val="18"/>
                <w:szCs w:val="18"/>
              </w:rPr>
              <w:t>★</w:t>
            </w:r>
            <w:r>
              <w:rPr>
                <w:rFonts w:asciiTheme="majorEastAsia" w:eastAsiaTheme="majorEastAsia" w:hAnsiTheme="majorEastAsia" w:hint="eastAsia"/>
                <w:b/>
                <w:sz w:val="18"/>
                <w:szCs w:val="18"/>
              </w:rPr>
              <w:t>产品基本类型</w:t>
            </w:r>
          </w:p>
        </w:tc>
        <w:tc>
          <w:tcPr>
            <w:tcW w:w="7704" w:type="dxa"/>
            <w:shd w:val="solid" w:color="FFFFFF" w:fill="FFFFFF"/>
            <w:vAlign w:val="center"/>
          </w:tcPr>
          <w:p w:rsidR="0089074A" w:rsidRDefault="00185114">
            <w:pPr>
              <w:adjustRightInd w:val="0"/>
              <w:snapToGrid w:val="0"/>
              <w:spacing w:line="276" w:lineRule="auto"/>
              <w:rPr>
                <w:rFonts w:ascii="宋体" w:hAnsi="宋体"/>
                <w:bCs/>
                <w:sz w:val="18"/>
                <w:szCs w:val="18"/>
              </w:rPr>
            </w:pPr>
            <w:r>
              <w:rPr>
                <w:rFonts w:asciiTheme="majorEastAsia" w:eastAsiaTheme="majorEastAsia" w:hAnsiTheme="majorEastAsia" w:hint="eastAsia"/>
                <w:sz w:val="18"/>
                <w:szCs w:val="18"/>
              </w:rPr>
              <w:t>公募</w:t>
            </w:r>
            <w:r>
              <w:rPr>
                <w:rFonts w:ascii="宋体" w:hAnsi="宋体" w:hint="eastAsia"/>
                <w:bCs/>
                <w:sz w:val="18"/>
                <w:szCs w:val="18"/>
              </w:rPr>
              <w:t>、开放式、固定收益类、非保本浮动</w:t>
            </w:r>
            <w:r>
              <w:rPr>
                <w:rFonts w:ascii="宋体" w:hAnsi="宋体"/>
                <w:bCs/>
                <w:sz w:val="18"/>
                <w:szCs w:val="18"/>
              </w:rPr>
              <w:t>收益</w:t>
            </w:r>
            <w:r>
              <w:rPr>
                <w:rFonts w:ascii="宋体" w:hAnsi="宋体" w:hint="eastAsia"/>
                <w:bCs/>
                <w:sz w:val="18"/>
                <w:szCs w:val="18"/>
              </w:rPr>
              <w:t>、净值型</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宋体" w:hAnsi="宋体"/>
                <w:b/>
                <w:bCs/>
                <w:sz w:val="18"/>
                <w:szCs w:val="18"/>
              </w:rPr>
            </w:pPr>
            <w:r>
              <w:rPr>
                <w:rFonts w:asciiTheme="majorEastAsia" w:eastAsiaTheme="majorEastAsia" w:hAnsiTheme="majorEastAsia" w:hint="eastAsia"/>
                <w:b/>
                <w:sz w:val="18"/>
                <w:szCs w:val="18"/>
              </w:rPr>
              <w:t>产品募集方式</w:t>
            </w:r>
          </w:p>
        </w:tc>
        <w:tc>
          <w:tcPr>
            <w:tcW w:w="7704" w:type="dxa"/>
            <w:shd w:val="solid" w:color="FFFFFF" w:fill="FFFFFF"/>
            <w:vAlign w:val="center"/>
          </w:tcPr>
          <w:p w:rsidR="0089074A" w:rsidRDefault="00185114">
            <w:pPr>
              <w:spacing w:line="360" w:lineRule="auto"/>
              <w:rPr>
                <w:rFonts w:ascii="宋体" w:hAnsi="宋体"/>
                <w:bCs/>
                <w:sz w:val="18"/>
                <w:szCs w:val="18"/>
              </w:rPr>
            </w:pPr>
            <w:r>
              <w:rPr>
                <w:rFonts w:asciiTheme="majorEastAsia" w:eastAsiaTheme="majorEastAsia" w:hAnsiTheme="majorEastAsia" w:hint="eastAsia"/>
                <w:sz w:val="18"/>
                <w:szCs w:val="18"/>
              </w:rPr>
              <w:t>公募</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宋体" w:hAnsi="宋体"/>
                <w:b/>
                <w:bCs/>
                <w:sz w:val="18"/>
                <w:szCs w:val="18"/>
              </w:rPr>
            </w:pPr>
            <w:r>
              <w:rPr>
                <w:rFonts w:asciiTheme="majorEastAsia" w:eastAsiaTheme="majorEastAsia" w:hAnsiTheme="majorEastAsia" w:hint="eastAsia"/>
                <w:b/>
                <w:sz w:val="18"/>
                <w:szCs w:val="18"/>
              </w:rPr>
              <w:t>产品运作方式</w:t>
            </w:r>
          </w:p>
        </w:tc>
        <w:tc>
          <w:tcPr>
            <w:tcW w:w="7704" w:type="dxa"/>
            <w:shd w:val="solid" w:color="FFFFFF" w:fill="FFFFFF"/>
            <w:vAlign w:val="center"/>
          </w:tcPr>
          <w:p w:rsidR="0089074A" w:rsidRDefault="00185114">
            <w:pPr>
              <w:spacing w:line="360" w:lineRule="auto"/>
              <w:rPr>
                <w:rFonts w:ascii="宋体" w:hAnsi="宋体"/>
                <w:bCs/>
                <w:sz w:val="18"/>
                <w:szCs w:val="18"/>
              </w:rPr>
            </w:pPr>
            <w:r>
              <w:rPr>
                <w:rFonts w:ascii="宋体" w:hAnsi="宋体" w:hint="eastAsia"/>
                <w:bCs/>
                <w:sz w:val="18"/>
                <w:szCs w:val="18"/>
              </w:rPr>
              <w:t>开放式</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宋体" w:hAnsi="宋体"/>
                <w:b/>
                <w:bCs/>
                <w:sz w:val="18"/>
                <w:szCs w:val="18"/>
              </w:rPr>
            </w:pPr>
            <w:r>
              <w:rPr>
                <w:rFonts w:asciiTheme="majorEastAsia" w:eastAsiaTheme="majorEastAsia" w:hAnsiTheme="majorEastAsia" w:hint="eastAsia"/>
                <w:b/>
                <w:sz w:val="18"/>
                <w:szCs w:val="18"/>
              </w:rPr>
              <w:t>产品投资性质</w:t>
            </w:r>
          </w:p>
        </w:tc>
        <w:tc>
          <w:tcPr>
            <w:tcW w:w="7704" w:type="dxa"/>
            <w:shd w:val="solid" w:color="FFFFFF" w:fill="FFFFFF"/>
            <w:vAlign w:val="center"/>
          </w:tcPr>
          <w:p w:rsidR="0089074A" w:rsidRDefault="00185114">
            <w:pPr>
              <w:adjustRightInd w:val="0"/>
              <w:snapToGrid w:val="0"/>
              <w:spacing w:line="276" w:lineRule="auto"/>
              <w:rPr>
                <w:rFonts w:asciiTheme="majorEastAsia" w:eastAsiaTheme="majorEastAsia" w:hAnsiTheme="majorEastAsia"/>
                <w:b/>
                <w:color w:val="000000" w:themeColor="text1"/>
                <w:sz w:val="18"/>
                <w:szCs w:val="18"/>
              </w:rPr>
            </w:pPr>
            <w:r>
              <w:rPr>
                <w:rFonts w:asciiTheme="majorEastAsia" w:eastAsiaTheme="majorEastAsia" w:hAnsiTheme="majorEastAsia" w:hint="eastAsia"/>
                <w:b/>
                <w:color w:val="000000" w:themeColor="text1"/>
                <w:sz w:val="18"/>
                <w:szCs w:val="18"/>
              </w:rPr>
              <w:t>固定收益类</w:t>
            </w:r>
          </w:p>
          <w:p w:rsidR="0089074A" w:rsidRDefault="00185114">
            <w:pPr>
              <w:adjustRightInd w:val="0"/>
              <w:snapToGrid w:val="0"/>
              <w:spacing w:line="360" w:lineRule="auto"/>
              <w:rPr>
                <w:rFonts w:ascii="宋体" w:hAnsi="宋体"/>
                <w:bCs/>
                <w:sz w:val="18"/>
                <w:szCs w:val="18"/>
              </w:rPr>
            </w:pPr>
            <w:r>
              <w:rPr>
                <w:rFonts w:asciiTheme="majorEastAsia" w:eastAsiaTheme="majorEastAsia" w:hAnsiTheme="majorEastAsia" w:hint="eastAsia"/>
                <w:sz w:val="18"/>
                <w:szCs w:val="18"/>
              </w:rPr>
              <w:t>固定</w:t>
            </w:r>
            <w:r>
              <w:rPr>
                <w:rFonts w:asciiTheme="majorEastAsia" w:eastAsiaTheme="majorEastAsia" w:hAnsiTheme="majorEastAsia"/>
                <w:sz w:val="18"/>
                <w:szCs w:val="18"/>
              </w:rPr>
              <w:t>收益</w:t>
            </w:r>
            <w:r>
              <w:rPr>
                <w:rFonts w:asciiTheme="majorEastAsia" w:eastAsiaTheme="majorEastAsia" w:hAnsiTheme="majorEastAsia" w:hint="eastAsia"/>
                <w:sz w:val="18"/>
                <w:szCs w:val="18"/>
              </w:rPr>
              <w:t>类</w:t>
            </w:r>
            <w:r>
              <w:rPr>
                <w:rFonts w:asciiTheme="majorEastAsia" w:eastAsiaTheme="majorEastAsia" w:hAnsiTheme="majorEastAsia"/>
                <w:sz w:val="18"/>
                <w:szCs w:val="18"/>
              </w:rPr>
              <w:t>产品是指根据监管</w:t>
            </w:r>
            <w:r>
              <w:rPr>
                <w:rFonts w:asciiTheme="majorEastAsia" w:eastAsiaTheme="majorEastAsia" w:hAnsiTheme="majorEastAsia" w:hint="eastAsia"/>
                <w:sz w:val="18"/>
                <w:szCs w:val="18"/>
              </w:rPr>
              <w:t>相关规定</w:t>
            </w:r>
            <w:r>
              <w:rPr>
                <w:rFonts w:asciiTheme="majorEastAsia" w:eastAsiaTheme="majorEastAsia" w:hAnsiTheme="majorEastAsia"/>
                <w:sz w:val="18"/>
                <w:szCs w:val="18"/>
              </w:rPr>
              <w:t>，投资于</w:t>
            </w:r>
            <w:r>
              <w:rPr>
                <w:rFonts w:asciiTheme="majorEastAsia" w:eastAsiaTheme="majorEastAsia" w:hAnsiTheme="majorEastAsia" w:hint="eastAsia"/>
                <w:sz w:val="18"/>
                <w:szCs w:val="18"/>
              </w:rPr>
              <w:t>存款</w:t>
            </w:r>
            <w:r>
              <w:rPr>
                <w:rFonts w:asciiTheme="majorEastAsia" w:eastAsiaTheme="majorEastAsia" w:hAnsiTheme="majorEastAsia"/>
                <w:sz w:val="18"/>
                <w:szCs w:val="18"/>
              </w:rPr>
              <w:t>、债券等债权类资产的</w:t>
            </w:r>
            <w:r>
              <w:rPr>
                <w:rFonts w:asciiTheme="majorEastAsia" w:eastAsiaTheme="majorEastAsia" w:hAnsiTheme="majorEastAsia" w:hint="eastAsia"/>
                <w:sz w:val="18"/>
                <w:szCs w:val="18"/>
              </w:rPr>
              <w:t>比例</w:t>
            </w:r>
            <w:r>
              <w:rPr>
                <w:rFonts w:asciiTheme="majorEastAsia" w:eastAsiaTheme="majorEastAsia" w:hAnsiTheme="majorEastAsia"/>
                <w:sz w:val="18"/>
                <w:szCs w:val="18"/>
              </w:rPr>
              <w:t>不低于80%的产品</w:t>
            </w:r>
            <w:r>
              <w:rPr>
                <w:rFonts w:ascii="宋体" w:hAnsi="宋体" w:hint="eastAsia"/>
                <w:bCs/>
                <w:sz w:val="18"/>
                <w:szCs w:val="18"/>
              </w:rPr>
              <w:t>。</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sz w:val="18"/>
                <w:szCs w:val="18"/>
              </w:rPr>
            </w:pPr>
            <w:r>
              <w:rPr>
                <w:rFonts w:asciiTheme="majorEastAsia" w:eastAsiaTheme="majorEastAsia" w:hAnsiTheme="majorEastAsia" w:hint="eastAsia"/>
                <w:b/>
                <w:sz w:val="18"/>
                <w:szCs w:val="18"/>
              </w:rPr>
              <w:t>产品</w:t>
            </w:r>
            <w:r>
              <w:rPr>
                <w:rFonts w:asciiTheme="majorEastAsia" w:eastAsiaTheme="majorEastAsia" w:hAnsiTheme="majorEastAsia"/>
                <w:b/>
                <w:sz w:val="18"/>
                <w:szCs w:val="18"/>
              </w:rPr>
              <w:t>收益特征</w:t>
            </w:r>
          </w:p>
        </w:tc>
        <w:tc>
          <w:tcPr>
            <w:tcW w:w="7704" w:type="dxa"/>
            <w:shd w:val="solid" w:color="FFFFFF" w:fill="FFFFFF"/>
            <w:vAlign w:val="center"/>
          </w:tcPr>
          <w:p w:rsidR="0089074A" w:rsidRDefault="00185114">
            <w:pPr>
              <w:adjustRightInd w:val="0"/>
              <w:snapToGrid w:val="0"/>
              <w:spacing w:line="360" w:lineRule="auto"/>
              <w:rPr>
                <w:rFonts w:asciiTheme="majorEastAsia" w:eastAsiaTheme="majorEastAsia" w:hAnsiTheme="majorEastAsia"/>
                <w:b/>
                <w:sz w:val="18"/>
                <w:szCs w:val="18"/>
              </w:rPr>
            </w:pPr>
            <w:r>
              <w:rPr>
                <w:rFonts w:asciiTheme="majorEastAsia" w:eastAsiaTheme="majorEastAsia" w:hAnsiTheme="majorEastAsia" w:hint="eastAsia"/>
                <w:b/>
                <w:sz w:val="18"/>
                <w:szCs w:val="18"/>
              </w:rPr>
              <w:t>非保本浮动收益</w:t>
            </w:r>
          </w:p>
          <w:p w:rsidR="0089074A" w:rsidRDefault="00185114">
            <w:pPr>
              <w:adjustRightInd w:val="0"/>
              <w:snapToGrid w:val="0"/>
              <w:spacing w:line="360" w:lineRule="auto"/>
              <w:rPr>
                <w:rFonts w:asciiTheme="majorEastAsia" w:eastAsiaTheme="majorEastAsia" w:hAnsiTheme="majorEastAsia"/>
                <w:sz w:val="18"/>
                <w:szCs w:val="18"/>
              </w:rPr>
            </w:pPr>
            <w:r>
              <w:rPr>
                <w:rFonts w:asciiTheme="majorEastAsia" w:eastAsiaTheme="majorEastAsia" w:hAnsiTheme="majorEastAsia" w:hint="eastAsia"/>
                <w:sz w:val="18"/>
                <w:szCs w:val="18"/>
              </w:rPr>
              <w:t>本产品不保证本金且不保证收益。本产品的收益随投资收益浮动，投资者可能会因市场变动而蒙</w:t>
            </w:r>
            <w:r>
              <w:rPr>
                <w:rFonts w:asciiTheme="majorEastAsia" w:eastAsiaTheme="majorEastAsia" w:hAnsiTheme="majorEastAsia" w:hint="eastAsia"/>
                <w:sz w:val="18"/>
                <w:szCs w:val="18"/>
              </w:rPr>
              <w:lastRenderedPageBreak/>
              <w:t>受损失。</w:t>
            </w:r>
          </w:p>
          <w:p w:rsidR="0089074A" w:rsidRDefault="00185114">
            <w:pPr>
              <w:adjustRightInd w:val="0"/>
              <w:snapToGrid w:val="0"/>
              <w:spacing w:line="360" w:lineRule="auto"/>
              <w:rPr>
                <w:rFonts w:asciiTheme="majorEastAsia" w:eastAsiaTheme="majorEastAsia" w:hAnsiTheme="majorEastAsia"/>
                <w:b/>
                <w:color w:val="000000" w:themeColor="text1"/>
                <w:sz w:val="18"/>
                <w:szCs w:val="18"/>
              </w:rPr>
            </w:pPr>
            <w:r>
              <w:rPr>
                <w:rFonts w:ascii="宋体" w:hAnsi="宋体" w:hint="eastAsia"/>
                <w:b/>
                <w:sz w:val="18"/>
                <w:szCs w:val="18"/>
              </w:rPr>
              <w:t>产品管理人对本产品的本金并不提供保证，也不承诺任何固定收益。</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宋体" w:hAnsi="宋体"/>
                <w:b/>
                <w:bCs/>
                <w:sz w:val="18"/>
                <w:szCs w:val="18"/>
              </w:rPr>
            </w:pPr>
            <w:r>
              <w:rPr>
                <w:rFonts w:asciiTheme="majorEastAsia" w:eastAsiaTheme="majorEastAsia" w:hAnsiTheme="majorEastAsia" w:hint="eastAsia"/>
                <w:b/>
                <w:sz w:val="18"/>
                <w:szCs w:val="18"/>
              </w:rPr>
              <w:lastRenderedPageBreak/>
              <w:t>理财币种</w:t>
            </w:r>
          </w:p>
        </w:tc>
        <w:tc>
          <w:tcPr>
            <w:tcW w:w="7704" w:type="dxa"/>
            <w:shd w:val="solid" w:color="FFFFFF" w:fill="FFFFFF"/>
            <w:vAlign w:val="center"/>
          </w:tcPr>
          <w:p w:rsidR="0089074A" w:rsidRDefault="00185114">
            <w:pPr>
              <w:spacing w:line="360" w:lineRule="auto"/>
              <w:rPr>
                <w:rFonts w:ascii="宋体" w:hAnsi="宋体"/>
                <w:bCs/>
                <w:sz w:val="18"/>
                <w:szCs w:val="18"/>
              </w:rPr>
            </w:pPr>
            <w:r>
              <w:rPr>
                <w:rFonts w:asciiTheme="majorEastAsia" w:eastAsiaTheme="majorEastAsia" w:hAnsiTheme="majorEastAsia" w:hint="eastAsia"/>
                <w:sz w:val="18"/>
                <w:szCs w:val="18"/>
              </w:rPr>
              <w:t>人民币</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宋体" w:hAnsi="宋体"/>
                <w:b/>
                <w:bCs/>
                <w:sz w:val="18"/>
                <w:szCs w:val="18"/>
              </w:rPr>
            </w:pPr>
            <w:r>
              <w:rPr>
                <w:rFonts w:hAnsi="宋体" w:hint="eastAsia"/>
                <w:sz w:val="18"/>
                <w:szCs w:val="18"/>
              </w:rPr>
              <w:t>★</w:t>
            </w:r>
            <w:r>
              <w:rPr>
                <w:rFonts w:asciiTheme="majorEastAsia" w:eastAsiaTheme="majorEastAsia" w:hAnsiTheme="majorEastAsia" w:hint="eastAsia"/>
                <w:b/>
                <w:bCs/>
                <w:sz w:val="18"/>
                <w:szCs w:val="18"/>
              </w:rPr>
              <w:t>产品风险评级</w:t>
            </w:r>
          </w:p>
        </w:tc>
        <w:tc>
          <w:tcPr>
            <w:tcW w:w="7704" w:type="dxa"/>
            <w:shd w:val="solid" w:color="FFFFFF" w:fill="FFFFFF"/>
          </w:tcPr>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 xml:space="preserve">本产品属于【■ </w:t>
            </w:r>
            <w:r>
              <w:rPr>
                <w:rFonts w:asciiTheme="majorEastAsia" w:eastAsiaTheme="majorEastAsia" w:hAnsiTheme="majorEastAsia"/>
                <w:bCs/>
                <w:sz w:val="18"/>
                <w:szCs w:val="18"/>
              </w:rPr>
              <w:t>R1、</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R2、</w:t>
            </w:r>
            <w:r>
              <w:rPr>
                <w:rFonts w:asciiTheme="majorEastAsia" w:eastAsiaTheme="majorEastAsia" w:hAnsiTheme="majorEastAsia" w:hint="eastAsia"/>
                <w:bCs/>
                <w:sz w:val="18"/>
                <w:szCs w:val="18"/>
              </w:rPr>
              <w:t xml:space="preserve">□ </w:t>
            </w:r>
            <w:r>
              <w:rPr>
                <w:rFonts w:asciiTheme="majorEastAsia" w:eastAsiaTheme="majorEastAsia" w:hAnsiTheme="majorEastAsia"/>
                <w:bCs/>
                <w:sz w:val="18"/>
                <w:szCs w:val="18"/>
              </w:rPr>
              <w:t>R3、</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R4、</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 xml:space="preserve"> R5】理财产品</w:t>
            </w:r>
            <w:r>
              <w:rPr>
                <w:rFonts w:asciiTheme="majorEastAsia" w:eastAsiaTheme="majorEastAsia" w:hAnsiTheme="majorEastAsia" w:hint="eastAsia"/>
                <w:bCs/>
                <w:sz w:val="18"/>
                <w:szCs w:val="18"/>
              </w:rPr>
              <w:t>。</w:t>
            </w:r>
          </w:p>
          <w:p w:rsidR="0089074A" w:rsidRDefault="00185114">
            <w:pPr>
              <w:spacing w:line="360" w:lineRule="auto"/>
              <w:rPr>
                <w:rFonts w:ascii="黑体" w:eastAsia="黑体" w:hAnsi="黑体"/>
                <w:sz w:val="18"/>
                <w:szCs w:val="18"/>
              </w:rPr>
            </w:pPr>
            <w:r>
              <w:rPr>
                <w:rFonts w:ascii="黑体" w:eastAsia="黑体" w:hAnsi="黑体" w:hint="eastAsia"/>
                <w:sz w:val="18"/>
                <w:szCs w:val="18"/>
              </w:rPr>
              <w:t>本评级为理财产品管理人内部评级，仅供参考。</w:t>
            </w:r>
          </w:p>
          <w:p w:rsidR="0089074A" w:rsidRDefault="00185114">
            <w:pPr>
              <w:spacing w:line="360" w:lineRule="auto"/>
              <w:rPr>
                <w:rFonts w:ascii="宋体" w:hAnsi="宋体"/>
                <w:b/>
                <w:bCs/>
                <w:sz w:val="18"/>
                <w:szCs w:val="18"/>
              </w:rPr>
            </w:pPr>
            <w:r>
              <w:rPr>
                <w:rFonts w:ascii="黑体" w:eastAsia="黑体" w:hAnsi="黑体" w:hint="eastAsia"/>
                <w:bCs/>
                <w:sz w:val="18"/>
                <w:szCs w:val="18"/>
              </w:rPr>
              <w:t>注</w:t>
            </w:r>
            <w:r>
              <w:rPr>
                <w:rFonts w:ascii="黑体" w:eastAsia="黑体" w:hAnsi="黑体"/>
                <w:bCs/>
                <w:sz w:val="18"/>
                <w:szCs w:val="18"/>
              </w:rPr>
              <w:t>：</w:t>
            </w:r>
            <w:r>
              <w:rPr>
                <w:rFonts w:ascii="黑体" w:eastAsia="黑体" w:hAnsi="黑体" w:hint="eastAsia"/>
                <w:bCs/>
                <w:sz w:val="18"/>
                <w:szCs w:val="18"/>
              </w:rPr>
              <w:t>若本</w:t>
            </w:r>
            <w:r>
              <w:rPr>
                <w:rFonts w:ascii="黑体" w:eastAsia="黑体" w:hAnsi="黑体"/>
                <w:bCs/>
                <w:sz w:val="18"/>
                <w:szCs w:val="18"/>
              </w:rPr>
              <w:t>产品通过代理销售机构销售的，</w:t>
            </w:r>
            <w:r>
              <w:rPr>
                <w:rFonts w:ascii="黑体" w:eastAsia="黑体" w:hAnsi="黑体" w:hint="eastAsia"/>
                <w:bCs/>
                <w:sz w:val="18"/>
                <w:szCs w:val="18"/>
              </w:rPr>
              <w:t>理财产品</w:t>
            </w:r>
            <w:r>
              <w:rPr>
                <w:rFonts w:ascii="黑体" w:eastAsia="黑体" w:hAnsi="黑体"/>
                <w:bCs/>
                <w:sz w:val="18"/>
                <w:szCs w:val="18"/>
              </w:rPr>
              <w:t>评级</w:t>
            </w:r>
            <w:r>
              <w:rPr>
                <w:rFonts w:ascii="黑体" w:eastAsia="黑体" w:hAnsi="黑体" w:hint="eastAsia"/>
                <w:bCs/>
                <w:sz w:val="18"/>
                <w:szCs w:val="18"/>
              </w:rPr>
              <w:t>以</w:t>
            </w:r>
            <w:r>
              <w:rPr>
                <w:rFonts w:ascii="黑体" w:eastAsia="黑体" w:hAnsi="黑体"/>
                <w:bCs/>
                <w:sz w:val="18"/>
                <w:szCs w:val="18"/>
              </w:rPr>
              <w:t>代理销售机构最终披露的评级结果为准。</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hAnsi="宋体" w:hint="eastAsia"/>
                <w:sz w:val="18"/>
                <w:szCs w:val="18"/>
              </w:rPr>
              <w:t>★</w:t>
            </w:r>
            <w:r>
              <w:rPr>
                <w:rFonts w:asciiTheme="majorEastAsia" w:eastAsiaTheme="majorEastAsia" w:hAnsiTheme="majorEastAsia" w:hint="eastAsia"/>
                <w:b/>
                <w:bCs/>
                <w:sz w:val="18"/>
                <w:szCs w:val="18"/>
              </w:rPr>
              <w:t>销售对象</w:t>
            </w:r>
          </w:p>
        </w:tc>
        <w:tc>
          <w:tcPr>
            <w:tcW w:w="7704" w:type="dxa"/>
            <w:shd w:val="solid" w:color="FFFFFF" w:fill="FFFFFF"/>
            <w:vAlign w:val="bottom"/>
          </w:tcPr>
          <w:p w:rsidR="0089074A" w:rsidRDefault="00185114">
            <w:pPr>
              <w:spacing w:line="360" w:lineRule="auto"/>
              <w:rPr>
                <w:rFonts w:asciiTheme="majorEastAsia" w:eastAsiaTheme="majorEastAsia" w:hAnsiTheme="majorEastAsia"/>
                <w:bCs/>
                <w:color w:val="000000" w:themeColor="text1"/>
                <w:sz w:val="18"/>
                <w:szCs w:val="18"/>
              </w:rPr>
            </w:pPr>
            <w:r>
              <w:rPr>
                <w:rFonts w:asciiTheme="majorEastAsia" w:eastAsiaTheme="majorEastAsia" w:hAnsiTheme="majorEastAsia" w:hint="eastAsia"/>
                <w:bCs/>
                <w:color w:val="000000" w:themeColor="text1"/>
                <w:sz w:val="18"/>
                <w:szCs w:val="18"/>
              </w:rPr>
              <w:t>本产品</w:t>
            </w:r>
            <w:r>
              <w:rPr>
                <w:rFonts w:asciiTheme="majorEastAsia" w:eastAsiaTheme="majorEastAsia" w:hAnsiTheme="majorEastAsia"/>
                <w:bCs/>
                <w:color w:val="000000" w:themeColor="text1"/>
                <w:sz w:val="18"/>
                <w:szCs w:val="18"/>
              </w:rPr>
              <w:t>适合以下类型投资者：</w:t>
            </w:r>
          </w:p>
          <w:p w:rsidR="0089074A" w:rsidRDefault="00185114">
            <w:pPr>
              <w:spacing w:line="360" w:lineRule="auto"/>
              <w:rPr>
                <w:rFonts w:asciiTheme="majorEastAsia" w:eastAsiaTheme="majorEastAsia" w:hAnsiTheme="majorEastAsia"/>
                <w:bCs/>
                <w:color w:val="000000" w:themeColor="text1"/>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hint="eastAsia"/>
                <w:bCs/>
                <w:color w:val="000000" w:themeColor="text1"/>
                <w:sz w:val="18"/>
                <w:szCs w:val="18"/>
              </w:rPr>
              <w:t>个人投资者</w:t>
            </w:r>
          </w:p>
          <w:p w:rsidR="0089074A" w:rsidRDefault="005D0449">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sidR="00185114">
              <w:rPr>
                <w:rFonts w:asciiTheme="majorEastAsia" w:eastAsiaTheme="majorEastAsia" w:hAnsiTheme="majorEastAsia" w:hint="eastAsia"/>
                <w:bCs/>
                <w:color w:val="000000" w:themeColor="text1"/>
                <w:sz w:val="18"/>
                <w:szCs w:val="18"/>
              </w:rPr>
              <w:t>机构投资者：</w:t>
            </w:r>
            <w:r>
              <w:rPr>
                <w:rFonts w:asciiTheme="majorEastAsia" w:eastAsiaTheme="majorEastAsia" w:hAnsiTheme="majorEastAsia" w:hint="eastAsia"/>
                <w:bCs/>
                <w:sz w:val="18"/>
                <w:szCs w:val="18"/>
              </w:rPr>
              <w:t>■</w:t>
            </w:r>
            <w:r w:rsidR="00185114">
              <w:rPr>
                <w:rFonts w:asciiTheme="majorEastAsia" w:eastAsiaTheme="majorEastAsia" w:hAnsiTheme="majorEastAsia" w:hint="eastAsia"/>
                <w:bCs/>
                <w:color w:val="000000" w:themeColor="text1"/>
                <w:sz w:val="18"/>
                <w:szCs w:val="18"/>
              </w:rPr>
              <w:t>一般</w:t>
            </w:r>
            <w:r w:rsidR="00185114">
              <w:rPr>
                <w:rFonts w:asciiTheme="majorEastAsia" w:eastAsiaTheme="majorEastAsia" w:hAnsiTheme="majorEastAsia"/>
                <w:bCs/>
                <w:color w:val="000000" w:themeColor="text1"/>
                <w:sz w:val="18"/>
                <w:szCs w:val="18"/>
              </w:rPr>
              <w:t>机构</w:t>
            </w:r>
            <w:r w:rsidR="00185114">
              <w:rPr>
                <w:rFonts w:asciiTheme="majorEastAsia" w:eastAsiaTheme="majorEastAsia" w:hAnsiTheme="majorEastAsia" w:hint="eastAsia"/>
                <w:bCs/>
                <w:color w:val="000000" w:themeColor="text1"/>
                <w:sz w:val="18"/>
                <w:szCs w:val="18"/>
              </w:rPr>
              <w:t xml:space="preserve">客户 </w:t>
            </w:r>
            <w:r w:rsidR="00185114">
              <w:rPr>
                <w:rFonts w:asciiTheme="majorEastAsia" w:eastAsiaTheme="majorEastAsia" w:hAnsiTheme="majorEastAsia"/>
                <w:bCs/>
                <w:color w:val="000000" w:themeColor="text1"/>
                <w:sz w:val="18"/>
                <w:szCs w:val="18"/>
              </w:rPr>
              <w:t xml:space="preserve">  </w:t>
            </w:r>
            <w:r w:rsidR="00185114">
              <w:rPr>
                <w:rFonts w:asciiTheme="majorEastAsia" w:eastAsiaTheme="majorEastAsia" w:hAnsiTheme="majorEastAsia" w:hint="eastAsia"/>
                <w:bCs/>
                <w:color w:val="000000" w:themeColor="text1"/>
                <w:sz w:val="18"/>
                <w:szCs w:val="18"/>
              </w:rPr>
              <w:t>□金融同业客户</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hAnsi="宋体" w:hint="eastAsia"/>
                <w:sz w:val="18"/>
                <w:szCs w:val="18"/>
              </w:rPr>
              <w:t>★</w:t>
            </w:r>
            <w:r>
              <w:rPr>
                <w:rFonts w:asciiTheme="majorEastAsia" w:eastAsiaTheme="majorEastAsia" w:hAnsiTheme="majorEastAsia" w:hint="eastAsia"/>
                <w:b/>
                <w:bCs/>
                <w:sz w:val="18"/>
                <w:szCs w:val="18"/>
              </w:rPr>
              <w:t>销售场景</w:t>
            </w:r>
          </w:p>
        </w:tc>
        <w:tc>
          <w:tcPr>
            <w:tcW w:w="7704" w:type="dxa"/>
            <w:shd w:val="solid" w:color="FFFFFF" w:fill="FFFFFF"/>
            <w:vAlign w:val="center"/>
          </w:tcPr>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本产品可在销售机构线上渠道和线下渠道等场景进行销售。</w:t>
            </w:r>
          </w:p>
          <w:p w:rsidR="0089074A" w:rsidRDefault="00185114">
            <w:pPr>
              <w:spacing w:line="360" w:lineRule="auto"/>
              <w:rPr>
                <w:rFonts w:asciiTheme="majorEastAsia" w:eastAsiaTheme="majorEastAsia" w:hAnsiTheme="majorEastAsia"/>
                <w:b/>
                <w:bCs/>
                <w:color w:val="000000" w:themeColor="text1"/>
                <w:sz w:val="18"/>
                <w:szCs w:val="18"/>
              </w:rPr>
            </w:pPr>
            <w:r>
              <w:rPr>
                <w:rFonts w:hAnsi="宋体" w:hint="eastAsia"/>
                <w:sz w:val="18"/>
                <w:szCs w:val="18"/>
              </w:rPr>
              <w:t>★</w:t>
            </w:r>
            <w:r>
              <w:rPr>
                <w:rFonts w:ascii="黑体" w:eastAsia="黑体" w:hAnsi="黑体" w:hint="eastAsia"/>
                <w:sz w:val="18"/>
                <w:szCs w:val="18"/>
              </w:rPr>
              <w:t>特别提示：当销售机构销售产品风险评级为</w:t>
            </w:r>
            <w:r>
              <w:rPr>
                <w:rFonts w:ascii="黑体" w:eastAsia="黑体" w:hAnsi="黑体"/>
                <w:sz w:val="18"/>
                <w:szCs w:val="18"/>
              </w:rPr>
              <w:t>R4</w:t>
            </w:r>
            <w:r>
              <w:rPr>
                <w:rFonts w:ascii="黑体" w:eastAsia="黑体" w:hAnsi="黑体" w:hint="eastAsia"/>
                <w:sz w:val="18"/>
                <w:szCs w:val="18"/>
              </w:rPr>
              <w:t>及</w:t>
            </w:r>
            <w:r>
              <w:rPr>
                <w:rFonts w:ascii="黑体" w:eastAsia="黑体" w:hAnsi="黑体"/>
                <w:sz w:val="18"/>
                <w:szCs w:val="18"/>
              </w:rPr>
              <w:t>以上</w:t>
            </w:r>
            <w:r>
              <w:rPr>
                <w:rFonts w:ascii="黑体" w:eastAsia="黑体" w:hAnsi="黑体" w:hint="eastAsia"/>
                <w:sz w:val="18"/>
                <w:szCs w:val="18"/>
              </w:rPr>
              <w:t>的理财产品时，可在销售机构的营业网点进行，也可依据销售机构的政策在营业网点之外的其他场景进行（具体政策以销售机构公布执行的为准）。</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asciiTheme="majorEastAsia" w:eastAsiaTheme="majorEastAsia" w:hAnsiTheme="majorEastAsia" w:hint="eastAsia"/>
                <w:b/>
                <w:sz w:val="18"/>
                <w:szCs w:val="18"/>
              </w:rPr>
              <w:t>销售机构</w:t>
            </w:r>
          </w:p>
        </w:tc>
        <w:tc>
          <w:tcPr>
            <w:tcW w:w="7704" w:type="dxa"/>
            <w:shd w:val="solid" w:color="FFFFFF" w:fill="FFFFFF"/>
            <w:vAlign w:val="center"/>
          </w:tcPr>
          <w:p w:rsidR="0089074A" w:rsidRDefault="00185114">
            <w:pPr>
              <w:spacing w:line="360" w:lineRule="auto"/>
              <w:jc w:val="left"/>
              <w:rPr>
                <w:rFonts w:ascii="宋体" w:hAnsi="宋体"/>
                <w:sz w:val="18"/>
                <w:szCs w:val="18"/>
              </w:rPr>
            </w:pPr>
            <w:r>
              <w:rPr>
                <w:rFonts w:ascii="宋体" w:hAnsi="宋体" w:hint="eastAsia"/>
                <w:sz w:val="18"/>
                <w:szCs w:val="18"/>
              </w:rPr>
              <w:t>□ 直销适用</w:t>
            </w:r>
          </w:p>
          <w:p w:rsidR="0089074A" w:rsidRDefault="00185114">
            <w:pPr>
              <w:spacing w:line="360" w:lineRule="auto"/>
              <w:jc w:val="left"/>
              <w:rPr>
                <w:rFonts w:ascii="宋体" w:hAnsi="宋体"/>
                <w:sz w:val="18"/>
                <w:szCs w:val="18"/>
              </w:rPr>
            </w:pPr>
            <w:r>
              <w:rPr>
                <w:rFonts w:ascii="宋体" w:hAnsi="宋体" w:hint="eastAsia"/>
                <w:sz w:val="18"/>
                <w:szCs w:val="18"/>
              </w:rPr>
              <w:t>本产品由产品管理人销售。</w:t>
            </w:r>
          </w:p>
          <w:p w:rsidR="0089074A" w:rsidRDefault="00185114">
            <w:pPr>
              <w:spacing w:line="360" w:lineRule="auto"/>
              <w:jc w:val="left"/>
              <w:rPr>
                <w:rFonts w:ascii="宋体" w:hAnsi="宋体"/>
                <w:sz w:val="18"/>
                <w:szCs w:val="18"/>
              </w:rPr>
            </w:pPr>
            <w:r>
              <w:rPr>
                <w:rFonts w:asciiTheme="majorEastAsia" w:eastAsiaTheme="majorEastAsia" w:hAnsiTheme="majorEastAsia" w:hint="eastAsia"/>
                <w:bCs/>
                <w:sz w:val="18"/>
                <w:szCs w:val="18"/>
              </w:rPr>
              <w:t>■</w:t>
            </w:r>
            <w:r>
              <w:rPr>
                <w:rFonts w:ascii="宋体" w:hAnsi="宋体" w:hint="eastAsia"/>
                <w:sz w:val="18"/>
                <w:szCs w:val="18"/>
              </w:rPr>
              <w:t xml:space="preserve"> 代销适用</w:t>
            </w:r>
          </w:p>
          <w:p w:rsidR="0089074A" w:rsidRDefault="00185114">
            <w:pPr>
              <w:spacing w:line="360" w:lineRule="auto"/>
              <w:jc w:val="left"/>
              <w:rPr>
                <w:rFonts w:ascii="宋体" w:hAnsi="宋体"/>
                <w:sz w:val="18"/>
                <w:szCs w:val="18"/>
              </w:rPr>
            </w:pPr>
            <w:r>
              <w:rPr>
                <w:rFonts w:ascii="宋体" w:hAnsi="宋体" w:hint="eastAsia"/>
                <w:sz w:val="18"/>
                <w:szCs w:val="18"/>
              </w:rPr>
              <w:t>本产品由代理销售机构</w:t>
            </w:r>
            <w:r>
              <w:rPr>
                <w:rFonts w:ascii="宋体" w:hAnsi="宋体"/>
                <w:sz w:val="18"/>
                <w:szCs w:val="18"/>
              </w:rPr>
              <w:t>销售</w:t>
            </w:r>
            <w:r>
              <w:rPr>
                <w:rFonts w:ascii="宋体" w:hAnsi="宋体" w:hint="eastAsia"/>
                <w:sz w:val="18"/>
                <w:szCs w:val="18"/>
              </w:rPr>
              <w:t>。</w:t>
            </w:r>
          </w:p>
          <w:p w:rsidR="0089074A" w:rsidRDefault="00185114">
            <w:pPr>
              <w:spacing w:line="360" w:lineRule="auto"/>
              <w:rPr>
                <w:rFonts w:asciiTheme="majorEastAsia" w:eastAsiaTheme="majorEastAsia" w:hAnsiTheme="majorEastAsia"/>
                <w:bCs/>
                <w:sz w:val="18"/>
                <w:szCs w:val="18"/>
              </w:rPr>
            </w:pPr>
            <w:r>
              <w:rPr>
                <w:rFonts w:ascii="宋体" w:hAnsi="宋体" w:hint="eastAsia"/>
                <w:sz w:val="18"/>
                <w:szCs w:val="18"/>
              </w:rPr>
              <w:t>代理销售</w:t>
            </w:r>
            <w:r>
              <w:rPr>
                <w:rFonts w:ascii="宋体" w:hAnsi="宋体"/>
                <w:sz w:val="18"/>
                <w:szCs w:val="18"/>
              </w:rPr>
              <w:t>机构</w:t>
            </w:r>
            <w:r>
              <w:rPr>
                <w:rFonts w:ascii="宋体" w:hAnsi="宋体" w:hint="eastAsia"/>
                <w:sz w:val="18"/>
                <w:szCs w:val="18"/>
              </w:rPr>
              <w:t>合作业务</w:t>
            </w:r>
            <w:r>
              <w:rPr>
                <w:rFonts w:ascii="宋体" w:hAnsi="宋体"/>
                <w:sz w:val="18"/>
                <w:szCs w:val="18"/>
              </w:rPr>
              <w:t>情况</w:t>
            </w:r>
            <w:r>
              <w:rPr>
                <w:rFonts w:ascii="宋体" w:hAnsi="宋体" w:hint="eastAsia"/>
                <w:sz w:val="18"/>
                <w:szCs w:val="18"/>
              </w:rPr>
              <w:t>以</w:t>
            </w:r>
            <w:r>
              <w:rPr>
                <w:rFonts w:ascii="宋体" w:hAnsi="宋体"/>
                <w:sz w:val="18"/>
                <w:szCs w:val="18"/>
              </w:rPr>
              <w:t>产品管理人</w:t>
            </w:r>
            <w:r>
              <w:rPr>
                <w:rFonts w:ascii="宋体" w:hAnsi="宋体" w:hint="eastAsia"/>
                <w:sz w:val="18"/>
                <w:szCs w:val="18"/>
              </w:rPr>
              <w:t>公告为准，</w:t>
            </w:r>
            <w:r>
              <w:rPr>
                <w:rFonts w:ascii="宋体" w:hAnsi="宋体"/>
                <w:sz w:val="18"/>
                <w:szCs w:val="18"/>
              </w:rPr>
              <w:t>具体代理</w:t>
            </w:r>
            <w:r>
              <w:rPr>
                <w:rFonts w:ascii="宋体" w:hAnsi="宋体" w:hint="eastAsia"/>
                <w:sz w:val="18"/>
                <w:szCs w:val="18"/>
              </w:rPr>
              <w:t>销售机构</w:t>
            </w:r>
            <w:r>
              <w:rPr>
                <w:rFonts w:ascii="宋体" w:hAnsi="宋体"/>
                <w:sz w:val="18"/>
                <w:szCs w:val="18"/>
              </w:rPr>
              <w:t>以《</w:t>
            </w:r>
            <w:r>
              <w:rPr>
                <w:rFonts w:ascii="宋体" w:hAnsi="宋体" w:hint="eastAsia"/>
                <w:sz w:val="18"/>
                <w:szCs w:val="18"/>
              </w:rPr>
              <w:t>（代理）</w:t>
            </w:r>
            <w:r>
              <w:rPr>
                <w:rFonts w:ascii="宋体" w:hAnsi="宋体"/>
                <w:sz w:val="18"/>
                <w:szCs w:val="18"/>
              </w:rPr>
              <w:t>销售协议书》</w:t>
            </w:r>
            <w:r>
              <w:rPr>
                <w:rFonts w:ascii="宋体" w:hAnsi="宋体" w:hint="eastAsia"/>
                <w:sz w:val="18"/>
                <w:szCs w:val="18"/>
              </w:rPr>
              <w:t>为准</w:t>
            </w:r>
            <w:r>
              <w:rPr>
                <w:rFonts w:ascii="宋体" w:hAnsi="宋体"/>
                <w:sz w:val="18"/>
                <w:szCs w:val="18"/>
              </w:rPr>
              <w:t>。</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asciiTheme="majorEastAsia" w:eastAsiaTheme="majorEastAsia" w:hAnsiTheme="majorEastAsia" w:hint="eastAsia"/>
                <w:b/>
                <w:bCs/>
                <w:sz w:val="18"/>
                <w:szCs w:val="18"/>
              </w:rPr>
              <w:t>理财产品</w:t>
            </w:r>
            <w:r>
              <w:rPr>
                <w:rFonts w:asciiTheme="majorEastAsia" w:eastAsiaTheme="majorEastAsia" w:hAnsiTheme="majorEastAsia"/>
                <w:b/>
                <w:bCs/>
                <w:sz w:val="18"/>
                <w:szCs w:val="18"/>
              </w:rPr>
              <w:t>管理人</w:t>
            </w:r>
          </w:p>
        </w:tc>
        <w:tc>
          <w:tcPr>
            <w:tcW w:w="7704" w:type="dxa"/>
            <w:shd w:val="solid" w:color="FFFFFF" w:fill="FFFFFF"/>
            <w:vAlign w:val="center"/>
          </w:tcPr>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兴银理财有限责任公司</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asciiTheme="majorEastAsia" w:eastAsiaTheme="majorEastAsia" w:hAnsiTheme="majorEastAsia" w:hint="eastAsia"/>
                <w:b/>
                <w:bCs/>
                <w:sz w:val="18"/>
                <w:szCs w:val="18"/>
              </w:rPr>
              <w:t>理财产品托管人</w:t>
            </w:r>
          </w:p>
        </w:tc>
        <w:tc>
          <w:tcPr>
            <w:tcW w:w="7704" w:type="dxa"/>
            <w:shd w:val="solid" w:color="FFFFFF" w:fill="FFFFFF"/>
            <w:vAlign w:val="center"/>
          </w:tcPr>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兴业银行股份有限公司</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产品规模</w:t>
            </w:r>
          </w:p>
        </w:tc>
        <w:tc>
          <w:tcPr>
            <w:tcW w:w="7704" w:type="dxa"/>
            <w:shd w:val="solid" w:color="FFFFFF" w:fill="FFFFFF"/>
            <w:vAlign w:val="center"/>
          </w:tcPr>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1.本产品计划初始</w:t>
            </w:r>
            <w:r>
              <w:rPr>
                <w:rFonts w:asciiTheme="majorEastAsia" w:eastAsiaTheme="majorEastAsia" w:hAnsiTheme="majorEastAsia"/>
                <w:bCs/>
                <w:sz w:val="18"/>
                <w:szCs w:val="18"/>
              </w:rPr>
              <w:t>募集</w:t>
            </w:r>
            <w:r>
              <w:rPr>
                <w:rFonts w:asciiTheme="majorEastAsia" w:eastAsiaTheme="majorEastAsia" w:hAnsiTheme="majorEastAsia" w:hint="eastAsia"/>
                <w:bCs/>
                <w:sz w:val="18"/>
                <w:szCs w:val="18"/>
              </w:rPr>
              <w:t>规模为【10】亿元，最小成立规模为【/】亿元。</w:t>
            </w:r>
          </w:p>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2.产品管理人</w:t>
            </w:r>
            <w:r>
              <w:rPr>
                <w:rFonts w:asciiTheme="majorEastAsia" w:eastAsiaTheme="majorEastAsia" w:hAnsiTheme="majorEastAsia"/>
                <w:bCs/>
                <w:sz w:val="18"/>
                <w:szCs w:val="18"/>
              </w:rPr>
              <w:t>有权根据实际需要对产品规模进行调整，产品最终规模以</w:t>
            </w:r>
            <w:r>
              <w:rPr>
                <w:rFonts w:asciiTheme="majorEastAsia" w:eastAsiaTheme="majorEastAsia" w:hAnsiTheme="majorEastAsia" w:hint="eastAsia"/>
                <w:bCs/>
                <w:sz w:val="18"/>
                <w:szCs w:val="18"/>
              </w:rPr>
              <w:t>产品管理人</w:t>
            </w:r>
            <w:r>
              <w:rPr>
                <w:rFonts w:asciiTheme="majorEastAsia" w:eastAsiaTheme="majorEastAsia" w:hAnsiTheme="majorEastAsia"/>
                <w:bCs/>
                <w:sz w:val="18"/>
                <w:szCs w:val="18"/>
              </w:rPr>
              <w:t>实际募集/管理的</w:t>
            </w:r>
            <w:r>
              <w:rPr>
                <w:rFonts w:asciiTheme="majorEastAsia" w:eastAsiaTheme="majorEastAsia" w:hAnsiTheme="majorEastAsia" w:hint="eastAsia"/>
                <w:bCs/>
                <w:sz w:val="18"/>
                <w:szCs w:val="18"/>
              </w:rPr>
              <w:t>金</w:t>
            </w:r>
            <w:r>
              <w:rPr>
                <w:rFonts w:asciiTheme="majorEastAsia" w:eastAsiaTheme="majorEastAsia" w:hAnsiTheme="majorEastAsia"/>
                <w:bCs/>
                <w:sz w:val="18"/>
                <w:szCs w:val="18"/>
              </w:rPr>
              <w:t>额为准。</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sz w:val="18"/>
                <w:szCs w:val="18"/>
              </w:rPr>
              <w:t>产品期限</w:t>
            </w:r>
          </w:p>
        </w:tc>
        <w:tc>
          <w:tcPr>
            <w:tcW w:w="7704" w:type="dxa"/>
            <w:shd w:val="solid" w:color="FFFFFF" w:fill="FFFFFF"/>
            <w:vAlign w:val="center"/>
          </w:tcPr>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□有固定期限：【】</w:t>
            </w:r>
          </w:p>
          <w:p w:rsidR="0089074A" w:rsidRDefault="00185114">
            <w:pPr>
              <w:spacing w:line="360" w:lineRule="auto"/>
              <w:rPr>
                <w:rFonts w:asciiTheme="majorEastAsia" w:eastAsiaTheme="majorEastAsia" w:hAnsiTheme="majorEastAsia" w:cs="仿宋_GB2312"/>
                <w:kern w:val="0"/>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cs="仿宋_GB2312" w:hint="eastAsia"/>
                <w:kern w:val="0"/>
                <w:sz w:val="18"/>
                <w:szCs w:val="18"/>
              </w:rPr>
              <w:t>无固定期限</w:t>
            </w:r>
          </w:p>
          <w:p w:rsidR="0089074A" w:rsidRDefault="00185114">
            <w:pPr>
              <w:spacing w:line="360" w:lineRule="auto"/>
              <w:rPr>
                <w:rFonts w:asciiTheme="majorEastAsia" w:eastAsiaTheme="majorEastAsia" w:hAnsiTheme="majorEastAsia" w:cs="仿宋_GB2312"/>
                <w:kern w:val="0"/>
                <w:sz w:val="18"/>
                <w:szCs w:val="18"/>
              </w:rPr>
            </w:pPr>
            <w:r>
              <w:rPr>
                <w:rFonts w:ascii="黑体" w:eastAsia="黑体" w:hAnsi="黑体" w:hint="eastAsia"/>
                <w:bCs/>
                <w:sz w:val="18"/>
                <w:szCs w:val="18"/>
              </w:rPr>
              <w:t>注：本产品的实际期限受制于本理财产品销售文件“提前终止”及“延期终止”情形。</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bCs/>
                <w:sz w:val="18"/>
                <w:szCs w:val="18"/>
              </w:rPr>
            </w:pPr>
            <w:r>
              <w:rPr>
                <w:rFonts w:asciiTheme="minorEastAsia" w:hAnsiTheme="minorEastAsia" w:hint="eastAsia"/>
                <w:b/>
                <w:sz w:val="18"/>
                <w:szCs w:val="18"/>
              </w:rPr>
              <w:t>认购期/募集期</w:t>
            </w:r>
          </w:p>
        </w:tc>
        <w:tc>
          <w:tcPr>
            <w:tcW w:w="7704" w:type="dxa"/>
            <w:shd w:val="solid" w:color="FFFFFF" w:fill="FFFFFF"/>
            <w:vAlign w:val="center"/>
          </w:tcPr>
          <w:p w:rsidR="0089074A" w:rsidRDefault="00185114">
            <w:pPr>
              <w:spacing w:line="360" w:lineRule="auto"/>
              <w:rPr>
                <w:rFonts w:asciiTheme="minorEastAsia" w:hAnsiTheme="minorEastAsia"/>
                <w:bCs/>
                <w:sz w:val="18"/>
                <w:szCs w:val="18"/>
              </w:rPr>
            </w:pPr>
            <w:r>
              <w:rPr>
                <w:rFonts w:asciiTheme="minorEastAsia" w:hAnsiTheme="minorEastAsia"/>
                <w:bCs/>
                <w:sz w:val="18"/>
                <w:szCs w:val="18"/>
              </w:rPr>
              <w:t>1.本产品认购期/募集期为</w:t>
            </w:r>
            <w:r>
              <w:rPr>
                <w:rFonts w:asciiTheme="minorEastAsia" w:hAnsiTheme="minorEastAsia" w:hint="eastAsia"/>
                <w:bCs/>
                <w:sz w:val="18"/>
                <w:szCs w:val="18"/>
              </w:rPr>
              <w:t>：</w:t>
            </w:r>
            <w:r>
              <w:rPr>
                <w:rFonts w:asciiTheme="minorEastAsia" w:hAnsiTheme="minorEastAsia" w:cs="Times New Roman" w:hint="eastAsia"/>
                <w:sz w:val="18"/>
                <w:szCs w:val="18"/>
              </w:rPr>
              <w:t>【2</w:t>
            </w:r>
            <w:r>
              <w:rPr>
                <w:rFonts w:asciiTheme="minorEastAsia" w:hAnsiTheme="minorEastAsia" w:cs="Times New Roman"/>
                <w:sz w:val="18"/>
                <w:szCs w:val="18"/>
              </w:rPr>
              <w:t>02</w:t>
            </w:r>
            <w:r>
              <w:rPr>
                <w:rFonts w:asciiTheme="minorEastAsia" w:hAnsiTheme="minorEastAsia" w:cs="Times New Roman" w:hint="eastAsia"/>
                <w:sz w:val="18"/>
                <w:szCs w:val="18"/>
              </w:rPr>
              <w:t>4</w:t>
            </w:r>
            <w:r>
              <w:rPr>
                <w:rFonts w:asciiTheme="minorEastAsia" w:hAnsiTheme="minorEastAsia" w:cs="Times New Roman"/>
                <w:sz w:val="18"/>
                <w:szCs w:val="18"/>
              </w:rPr>
              <w:t>】年【</w:t>
            </w:r>
            <w:r>
              <w:rPr>
                <w:rFonts w:asciiTheme="minorEastAsia" w:hAnsiTheme="minorEastAsia" w:cs="Times New Roman" w:hint="eastAsia"/>
                <w:sz w:val="18"/>
                <w:szCs w:val="18"/>
              </w:rPr>
              <w:t>0</w:t>
            </w:r>
            <w:r w:rsidR="00B731D0">
              <w:rPr>
                <w:rFonts w:asciiTheme="minorEastAsia" w:hAnsiTheme="minorEastAsia" w:cs="Times New Roman" w:hint="eastAsia"/>
                <w:sz w:val="18"/>
                <w:szCs w:val="18"/>
              </w:rPr>
              <w:t>4</w:t>
            </w:r>
            <w:r>
              <w:rPr>
                <w:rFonts w:asciiTheme="minorEastAsia" w:hAnsiTheme="minorEastAsia" w:cs="Times New Roman" w:hint="eastAsia"/>
                <w:sz w:val="18"/>
                <w:szCs w:val="18"/>
              </w:rPr>
              <w:t>】月【</w:t>
            </w:r>
            <w:r w:rsidR="00B731D0">
              <w:rPr>
                <w:rFonts w:asciiTheme="minorEastAsia" w:hAnsiTheme="minorEastAsia" w:cs="Times New Roman" w:hint="eastAsia"/>
                <w:sz w:val="18"/>
                <w:szCs w:val="18"/>
              </w:rPr>
              <w:t>10</w:t>
            </w:r>
            <w:r>
              <w:rPr>
                <w:rFonts w:asciiTheme="minorEastAsia" w:hAnsiTheme="minorEastAsia" w:cs="Times New Roman" w:hint="eastAsia"/>
                <w:sz w:val="18"/>
                <w:szCs w:val="18"/>
              </w:rPr>
              <w:t>】日【9</w:t>
            </w:r>
            <w:r>
              <w:rPr>
                <w:rFonts w:asciiTheme="minorEastAsia" w:hAnsiTheme="minorEastAsia" w:cs="Times New Roman"/>
                <w:sz w:val="18"/>
                <w:szCs w:val="18"/>
              </w:rPr>
              <w:t>:00</w:t>
            </w:r>
            <w:r>
              <w:rPr>
                <w:rFonts w:asciiTheme="minorEastAsia" w:hAnsiTheme="minorEastAsia" w:cs="Times New Roman" w:hint="eastAsia"/>
                <w:sz w:val="18"/>
                <w:szCs w:val="18"/>
              </w:rPr>
              <w:t>】</w:t>
            </w:r>
            <w:r>
              <w:rPr>
                <w:rFonts w:asciiTheme="minorEastAsia" w:hAnsiTheme="minorEastAsia" w:cs="仿宋_GB2312" w:hint="eastAsia"/>
                <w:sz w:val="18"/>
                <w:szCs w:val="18"/>
              </w:rPr>
              <w:t>至</w:t>
            </w:r>
            <w:r>
              <w:rPr>
                <w:rFonts w:asciiTheme="minorEastAsia" w:hAnsiTheme="minorEastAsia" w:cs="Times New Roman" w:hint="eastAsia"/>
                <w:sz w:val="18"/>
                <w:szCs w:val="18"/>
              </w:rPr>
              <w:t>【2024</w:t>
            </w:r>
            <w:r>
              <w:rPr>
                <w:rFonts w:asciiTheme="minorEastAsia" w:hAnsiTheme="minorEastAsia" w:cs="Times New Roman"/>
                <w:sz w:val="18"/>
                <w:szCs w:val="18"/>
              </w:rPr>
              <w:t>】年【0</w:t>
            </w:r>
            <w:r w:rsidR="0024331B">
              <w:rPr>
                <w:rFonts w:asciiTheme="minorEastAsia" w:hAnsiTheme="minorEastAsia" w:cs="Times New Roman" w:hint="eastAsia"/>
                <w:sz w:val="18"/>
                <w:szCs w:val="18"/>
              </w:rPr>
              <w:t>4</w:t>
            </w:r>
            <w:r>
              <w:rPr>
                <w:rFonts w:asciiTheme="minorEastAsia" w:hAnsiTheme="minorEastAsia" w:cs="Times New Roman" w:hint="eastAsia"/>
                <w:sz w:val="18"/>
                <w:szCs w:val="18"/>
              </w:rPr>
              <w:t>】月【</w:t>
            </w:r>
            <w:r w:rsidR="00B731D0">
              <w:rPr>
                <w:rFonts w:asciiTheme="minorEastAsia" w:hAnsiTheme="minorEastAsia" w:cs="Times New Roman" w:hint="eastAsia"/>
                <w:sz w:val="18"/>
                <w:szCs w:val="18"/>
              </w:rPr>
              <w:t>16</w:t>
            </w:r>
            <w:r>
              <w:rPr>
                <w:rFonts w:asciiTheme="minorEastAsia" w:hAnsiTheme="minorEastAsia" w:cs="Times New Roman" w:hint="eastAsia"/>
                <w:sz w:val="18"/>
                <w:szCs w:val="18"/>
              </w:rPr>
              <w:t>】日【1</w:t>
            </w:r>
            <w:r>
              <w:rPr>
                <w:rFonts w:asciiTheme="minorEastAsia" w:hAnsiTheme="minorEastAsia" w:cs="Times New Roman"/>
                <w:sz w:val="18"/>
                <w:szCs w:val="18"/>
              </w:rPr>
              <w:t>7:00</w:t>
            </w:r>
            <w:r>
              <w:rPr>
                <w:rFonts w:asciiTheme="minorEastAsia" w:hAnsiTheme="minorEastAsia" w:cs="Times New Roman" w:hint="eastAsia"/>
                <w:sz w:val="18"/>
                <w:szCs w:val="18"/>
              </w:rPr>
              <w:t>】</w:t>
            </w:r>
            <w:r>
              <w:rPr>
                <w:rFonts w:asciiTheme="majorEastAsia" w:eastAsiaTheme="majorEastAsia" w:hAnsiTheme="majorEastAsia"/>
                <w:sz w:val="18"/>
                <w:szCs w:val="18"/>
              </w:rPr>
              <w:t>。</w:t>
            </w:r>
          </w:p>
          <w:p w:rsidR="0089074A" w:rsidRDefault="00185114">
            <w:pPr>
              <w:spacing w:line="360" w:lineRule="auto"/>
              <w:rPr>
                <w:rFonts w:ascii="宋体" w:hAnsi="宋体"/>
                <w:bCs/>
                <w:sz w:val="18"/>
                <w:szCs w:val="18"/>
              </w:rPr>
            </w:pPr>
            <w:r>
              <w:rPr>
                <w:rFonts w:ascii="宋体" w:hAnsi="宋体"/>
                <w:bCs/>
                <w:sz w:val="18"/>
                <w:szCs w:val="18"/>
              </w:rPr>
              <w:lastRenderedPageBreak/>
              <w:t>2</w:t>
            </w:r>
            <w:r>
              <w:rPr>
                <w:rFonts w:asciiTheme="minorEastAsia" w:hAnsiTheme="minorEastAsia"/>
                <w:bCs/>
                <w:sz w:val="18"/>
                <w:szCs w:val="18"/>
              </w:rPr>
              <w:t>.</w:t>
            </w:r>
            <w:r>
              <w:rPr>
                <w:rFonts w:ascii="宋体" w:hAnsi="宋体" w:hint="eastAsia"/>
                <w:bCs/>
                <w:sz w:val="18"/>
                <w:szCs w:val="18"/>
              </w:rPr>
              <w:t>投资者在认购期</w:t>
            </w:r>
            <w:r>
              <w:rPr>
                <w:rFonts w:ascii="宋体" w:hAnsi="宋体"/>
                <w:bCs/>
                <w:sz w:val="18"/>
                <w:szCs w:val="18"/>
              </w:rPr>
              <w:t>/募集</w:t>
            </w:r>
            <w:r>
              <w:rPr>
                <w:rFonts w:ascii="宋体" w:hAnsi="宋体" w:hint="eastAsia"/>
                <w:sz w:val="18"/>
                <w:szCs w:val="18"/>
              </w:rPr>
              <w:t>期内认购</w:t>
            </w:r>
            <w:r>
              <w:rPr>
                <w:rFonts w:ascii="宋体" w:hAnsi="宋体" w:hint="eastAsia"/>
                <w:bCs/>
                <w:sz w:val="18"/>
                <w:szCs w:val="18"/>
              </w:rPr>
              <w:t>本</w:t>
            </w:r>
            <w:r>
              <w:rPr>
                <w:rFonts w:ascii="宋体" w:hAnsi="宋体" w:hint="eastAsia"/>
                <w:sz w:val="18"/>
                <w:szCs w:val="18"/>
              </w:rPr>
              <w:t>理财</w:t>
            </w:r>
            <w:r>
              <w:rPr>
                <w:rFonts w:ascii="宋体" w:hAnsi="宋体" w:hint="eastAsia"/>
                <w:bCs/>
                <w:sz w:val="18"/>
                <w:szCs w:val="18"/>
              </w:rPr>
              <w:t>产品后，</w:t>
            </w:r>
            <w:r>
              <w:rPr>
                <w:rFonts w:ascii="宋体" w:hAnsi="宋体" w:hint="eastAsia"/>
                <w:sz w:val="18"/>
                <w:szCs w:val="18"/>
              </w:rPr>
              <w:t>理财</w:t>
            </w:r>
            <w:r>
              <w:rPr>
                <w:rFonts w:ascii="宋体" w:hAnsi="宋体" w:hint="eastAsia"/>
                <w:bCs/>
                <w:sz w:val="18"/>
                <w:szCs w:val="18"/>
              </w:rPr>
              <w:t>资金将在成立日开始进行投资。</w:t>
            </w:r>
          </w:p>
          <w:p w:rsidR="0089074A" w:rsidRDefault="00185114">
            <w:pPr>
              <w:spacing w:line="360" w:lineRule="auto"/>
              <w:rPr>
                <w:rFonts w:ascii="宋体" w:hAnsi="宋体"/>
                <w:sz w:val="18"/>
              </w:rPr>
            </w:pPr>
            <w:r>
              <w:rPr>
                <w:rFonts w:ascii="宋体" w:hAnsi="宋体"/>
                <w:bCs/>
                <w:sz w:val="18"/>
                <w:szCs w:val="18"/>
              </w:rPr>
              <w:t>3</w:t>
            </w:r>
            <w:r>
              <w:rPr>
                <w:rFonts w:asciiTheme="minorEastAsia" w:hAnsiTheme="minorEastAsia" w:hint="eastAsia"/>
                <w:bCs/>
                <w:sz w:val="18"/>
                <w:szCs w:val="18"/>
              </w:rPr>
              <w:t>.</w:t>
            </w:r>
            <w:r>
              <w:rPr>
                <w:rFonts w:ascii="宋体" w:hAnsi="宋体" w:hint="eastAsia"/>
                <w:bCs/>
                <w:sz w:val="18"/>
                <w:szCs w:val="18"/>
              </w:rPr>
              <w:t>认购期/募集期内资金产生的利息不计入认购资金</w:t>
            </w:r>
            <w:r>
              <w:rPr>
                <w:rFonts w:ascii="宋体" w:hAnsi="宋体" w:hint="eastAsia"/>
                <w:sz w:val="18"/>
              </w:rPr>
              <w:t>。</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bCs/>
                <w:sz w:val="18"/>
                <w:szCs w:val="18"/>
              </w:rPr>
            </w:pPr>
            <w:r>
              <w:rPr>
                <w:rFonts w:hAnsi="宋体" w:hint="eastAsia"/>
                <w:sz w:val="18"/>
                <w:szCs w:val="18"/>
              </w:rPr>
              <w:lastRenderedPageBreak/>
              <w:t>★</w:t>
            </w:r>
            <w:r>
              <w:rPr>
                <w:rFonts w:asciiTheme="majorEastAsia" w:eastAsiaTheme="majorEastAsia" w:hAnsiTheme="majorEastAsia" w:hint="eastAsia"/>
                <w:b/>
                <w:bCs/>
                <w:sz w:val="18"/>
                <w:szCs w:val="18"/>
              </w:rPr>
              <w:t>投资冷静期</w:t>
            </w:r>
          </w:p>
        </w:tc>
        <w:tc>
          <w:tcPr>
            <w:tcW w:w="7704" w:type="dxa"/>
            <w:shd w:val="solid" w:color="FFFFFF" w:fill="FFFFFF"/>
            <w:vAlign w:val="center"/>
          </w:tcPr>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本产品为公募理财产品，无投资冷静期设置。</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bCs/>
                <w:sz w:val="18"/>
                <w:szCs w:val="18"/>
              </w:rPr>
            </w:pPr>
            <w:r>
              <w:rPr>
                <w:rFonts w:asciiTheme="minorEastAsia" w:hAnsiTheme="minorEastAsia" w:hint="eastAsia"/>
                <w:b/>
                <w:bCs/>
                <w:sz w:val="18"/>
                <w:szCs w:val="18"/>
              </w:rPr>
              <w:t>成立日</w:t>
            </w:r>
          </w:p>
        </w:tc>
        <w:tc>
          <w:tcPr>
            <w:tcW w:w="7704" w:type="dxa"/>
            <w:shd w:val="solid" w:color="FFFFFF" w:fill="FFFFFF"/>
            <w:vAlign w:val="center"/>
          </w:tcPr>
          <w:p w:rsidR="0089074A" w:rsidRDefault="00185114">
            <w:pPr>
              <w:spacing w:line="360" w:lineRule="auto"/>
              <w:rPr>
                <w:rFonts w:asciiTheme="minorEastAsia" w:hAnsiTheme="minorEastAsia"/>
                <w:bCs/>
                <w:sz w:val="18"/>
                <w:szCs w:val="18"/>
              </w:rPr>
            </w:pPr>
            <w:r>
              <w:rPr>
                <w:rFonts w:asciiTheme="minorEastAsia" w:hAnsiTheme="minorEastAsia"/>
                <w:bCs/>
                <w:sz w:val="18"/>
                <w:szCs w:val="18"/>
              </w:rPr>
              <w:t>1.本产品的</w:t>
            </w:r>
            <w:r>
              <w:rPr>
                <w:rFonts w:asciiTheme="minorEastAsia" w:hAnsiTheme="minorEastAsia" w:hint="eastAsia"/>
                <w:bCs/>
                <w:sz w:val="18"/>
                <w:szCs w:val="18"/>
              </w:rPr>
              <w:t>计划成立日为</w:t>
            </w:r>
            <w:r>
              <w:rPr>
                <w:rFonts w:asciiTheme="minorEastAsia" w:hAnsiTheme="minorEastAsia"/>
                <w:bCs/>
                <w:sz w:val="18"/>
                <w:szCs w:val="18"/>
              </w:rPr>
              <w:t>：</w:t>
            </w:r>
            <w:r>
              <w:rPr>
                <w:rFonts w:asciiTheme="minorEastAsia" w:hAnsiTheme="minorEastAsia" w:cs="Times New Roman" w:hint="eastAsia"/>
                <w:sz w:val="18"/>
                <w:szCs w:val="18"/>
              </w:rPr>
              <w:t>【2</w:t>
            </w:r>
            <w:r>
              <w:rPr>
                <w:rFonts w:asciiTheme="minorEastAsia" w:hAnsiTheme="minorEastAsia" w:cs="Times New Roman"/>
                <w:sz w:val="18"/>
                <w:szCs w:val="18"/>
              </w:rPr>
              <w:t>0</w:t>
            </w:r>
            <w:r>
              <w:rPr>
                <w:rFonts w:asciiTheme="minorEastAsia" w:hAnsiTheme="minorEastAsia" w:cs="Times New Roman" w:hint="eastAsia"/>
                <w:sz w:val="18"/>
                <w:szCs w:val="18"/>
              </w:rPr>
              <w:t>24</w:t>
            </w:r>
            <w:r>
              <w:rPr>
                <w:rFonts w:asciiTheme="minorEastAsia" w:hAnsiTheme="minorEastAsia" w:cs="Times New Roman"/>
                <w:sz w:val="18"/>
                <w:szCs w:val="18"/>
              </w:rPr>
              <w:t>】年【</w:t>
            </w:r>
            <w:r>
              <w:rPr>
                <w:rFonts w:asciiTheme="minorEastAsia" w:hAnsiTheme="minorEastAsia" w:cs="Times New Roman" w:hint="eastAsia"/>
                <w:sz w:val="18"/>
                <w:szCs w:val="18"/>
              </w:rPr>
              <w:t>0</w:t>
            </w:r>
            <w:r w:rsidR="002A484C">
              <w:rPr>
                <w:rFonts w:asciiTheme="minorEastAsia" w:hAnsiTheme="minorEastAsia" w:cs="Times New Roman" w:hint="eastAsia"/>
                <w:sz w:val="18"/>
                <w:szCs w:val="18"/>
              </w:rPr>
              <w:t>4</w:t>
            </w:r>
            <w:r>
              <w:rPr>
                <w:rFonts w:asciiTheme="minorEastAsia" w:hAnsiTheme="minorEastAsia" w:cs="Times New Roman" w:hint="eastAsia"/>
                <w:sz w:val="18"/>
                <w:szCs w:val="18"/>
              </w:rPr>
              <w:t>】月【</w:t>
            </w:r>
            <w:r w:rsidR="00B731D0">
              <w:rPr>
                <w:rFonts w:asciiTheme="minorEastAsia" w:hAnsiTheme="minorEastAsia" w:cs="Times New Roman" w:hint="eastAsia"/>
                <w:sz w:val="18"/>
                <w:szCs w:val="18"/>
              </w:rPr>
              <w:t>17</w:t>
            </w:r>
            <w:r>
              <w:rPr>
                <w:rFonts w:asciiTheme="minorEastAsia" w:hAnsiTheme="minorEastAsia" w:cs="Times New Roman" w:hint="eastAsia"/>
                <w:sz w:val="18"/>
                <w:szCs w:val="18"/>
              </w:rPr>
              <w:t>】日（遇节假日顺延）</w:t>
            </w:r>
            <w:r>
              <w:rPr>
                <w:rFonts w:asciiTheme="minorEastAsia" w:hAnsiTheme="minorEastAsia" w:hint="eastAsia"/>
                <w:bCs/>
                <w:sz w:val="18"/>
                <w:szCs w:val="18"/>
              </w:rPr>
              <w:t>。</w:t>
            </w:r>
          </w:p>
          <w:p w:rsidR="0089074A" w:rsidRDefault="00185114">
            <w:pPr>
              <w:spacing w:line="360" w:lineRule="auto"/>
              <w:rPr>
                <w:rFonts w:asciiTheme="majorEastAsia" w:eastAsiaTheme="majorEastAsia" w:hAnsiTheme="majorEastAsia"/>
                <w:bCs/>
                <w:sz w:val="18"/>
                <w:szCs w:val="18"/>
              </w:rPr>
            </w:pPr>
            <w:r>
              <w:rPr>
                <w:rFonts w:asciiTheme="minorEastAsia" w:hAnsiTheme="minorEastAsia"/>
                <w:bCs/>
                <w:sz w:val="18"/>
                <w:szCs w:val="18"/>
              </w:rPr>
              <w:t>2.产品管理人有权根据实际募集情况提前或延后产品成立日期，并相应调整其他产品要素</w:t>
            </w:r>
            <w:r>
              <w:rPr>
                <w:rFonts w:asciiTheme="minorEastAsia" w:hAnsiTheme="minorEastAsia" w:hint="eastAsia"/>
                <w:bCs/>
                <w:sz w:val="18"/>
                <w:szCs w:val="18"/>
              </w:rPr>
              <w:t>，</w:t>
            </w:r>
            <w:r>
              <w:rPr>
                <w:rFonts w:asciiTheme="minorEastAsia" w:hAnsiTheme="minorEastAsia"/>
                <w:bCs/>
                <w:sz w:val="18"/>
                <w:szCs w:val="18"/>
              </w:rPr>
              <w:t>将依约</w:t>
            </w:r>
            <w:r>
              <w:rPr>
                <w:rFonts w:asciiTheme="minorEastAsia" w:hAnsiTheme="minorEastAsia" w:hint="eastAsia"/>
                <w:bCs/>
                <w:sz w:val="18"/>
                <w:szCs w:val="18"/>
              </w:rPr>
              <w:t>定进行公告。</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inorEastAsia" w:hAnsiTheme="minorEastAsia"/>
                <w:b/>
                <w:bCs/>
                <w:sz w:val="18"/>
                <w:szCs w:val="18"/>
              </w:rPr>
            </w:pPr>
            <w:r>
              <w:rPr>
                <w:rFonts w:asciiTheme="minorEastAsia" w:hAnsiTheme="minorEastAsia" w:hint="eastAsia"/>
                <w:b/>
                <w:bCs/>
                <w:sz w:val="18"/>
                <w:szCs w:val="18"/>
              </w:rPr>
              <w:t>终止日</w:t>
            </w:r>
          </w:p>
        </w:tc>
        <w:tc>
          <w:tcPr>
            <w:tcW w:w="7704" w:type="dxa"/>
            <w:shd w:val="solid" w:color="FFFFFF" w:fill="FFFFFF"/>
            <w:vAlign w:val="center"/>
          </w:tcPr>
          <w:p w:rsidR="0089074A" w:rsidRDefault="00185114">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hint="eastAsia"/>
                <w:bCs/>
                <w:sz w:val="18"/>
                <w:szCs w:val="18"/>
              </w:rPr>
              <w:t>.本产品的计划终止日为</w:t>
            </w:r>
            <w:r>
              <w:rPr>
                <w:rFonts w:asciiTheme="minorEastAsia" w:hAnsiTheme="minorEastAsia"/>
                <w:bCs/>
                <w:sz w:val="18"/>
                <w:szCs w:val="18"/>
              </w:rPr>
              <w:t>：</w:t>
            </w:r>
            <w:r>
              <w:rPr>
                <w:rFonts w:asciiTheme="minorEastAsia" w:hAnsiTheme="minorEastAsia" w:cs="Times New Roman" w:hint="eastAsia"/>
                <w:sz w:val="18"/>
                <w:szCs w:val="18"/>
              </w:rPr>
              <w:t>【/</w:t>
            </w:r>
            <w:r>
              <w:rPr>
                <w:rFonts w:asciiTheme="minorEastAsia" w:hAnsiTheme="minorEastAsia" w:cs="Times New Roman"/>
                <w:sz w:val="18"/>
                <w:szCs w:val="18"/>
              </w:rPr>
              <w:t>】年【</w:t>
            </w:r>
            <w:r>
              <w:rPr>
                <w:rFonts w:asciiTheme="minorEastAsia" w:hAnsiTheme="minorEastAsia" w:cs="Times New Roman" w:hint="eastAsia"/>
                <w:sz w:val="18"/>
                <w:szCs w:val="18"/>
              </w:rPr>
              <w:t>/】月【/】日（遇节假日顺延）</w:t>
            </w:r>
            <w:r>
              <w:rPr>
                <w:rFonts w:asciiTheme="minorEastAsia" w:hAnsiTheme="minorEastAsia" w:hint="eastAsia"/>
                <w:bCs/>
                <w:sz w:val="18"/>
                <w:szCs w:val="18"/>
              </w:rPr>
              <w:t>。</w:t>
            </w:r>
          </w:p>
          <w:p w:rsidR="0089074A" w:rsidRDefault="00185114">
            <w:pPr>
              <w:spacing w:line="360" w:lineRule="auto"/>
              <w:rPr>
                <w:rFonts w:asciiTheme="minorEastAsia" w:hAnsiTheme="minorEastAsia"/>
                <w:bCs/>
                <w:sz w:val="18"/>
                <w:szCs w:val="18"/>
              </w:rPr>
            </w:pPr>
            <w:r>
              <w:rPr>
                <w:rFonts w:ascii="宋体" w:hAnsi="宋体" w:hint="eastAsia"/>
                <w:bCs/>
                <w:sz w:val="18"/>
                <w:szCs w:val="18"/>
              </w:rPr>
              <w:t>2.本产品的实际终止日受制于本理财产品销售文件“提前终止”及“延期终止”情形。</w:t>
            </w:r>
          </w:p>
        </w:tc>
      </w:tr>
      <w:tr w:rsidR="0089074A">
        <w:trPr>
          <w:trHeight w:val="275"/>
          <w:jc w:val="center"/>
        </w:trPr>
        <w:tc>
          <w:tcPr>
            <w:tcW w:w="1945" w:type="dxa"/>
            <w:shd w:val="solid" w:color="FFFFFF" w:fill="FFFFFF"/>
          </w:tcPr>
          <w:p w:rsidR="0089074A" w:rsidRDefault="00185114">
            <w:pPr>
              <w:spacing w:line="360" w:lineRule="auto"/>
              <w:jc w:val="left"/>
              <w:rPr>
                <w:rFonts w:asciiTheme="minorEastAsia" w:hAnsiTheme="minorEastAsia"/>
                <w:b/>
                <w:bCs/>
                <w:sz w:val="18"/>
                <w:szCs w:val="18"/>
              </w:rPr>
            </w:pPr>
            <w:r>
              <w:rPr>
                <w:rFonts w:hAnsi="宋体" w:hint="eastAsia"/>
                <w:sz w:val="18"/>
                <w:szCs w:val="18"/>
              </w:rPr>
              <w:t>★</w:t>
            </w:r>
            <w:r>
              <w:rPr>
                <w:rFonts w:asciiTheme="minorEastAsia" w:hAnsiTheme="minorEastAsia" w:hint="eastAsia"/>
                <w:b/>
                <w:sz w:val="18"/>
                <w:szCs w:val="18"/>
              </w:rPr>
              <w:t>封闭期</w:t>
            </w:r>
          </w:p>
        </w:tc>
        <w:tc>
          <w:tcPr>
            <w:tcW w:w="7704" w:type="dxa"/>
            <w:shd w:val="solid" w:color="FFFFFF" w:fill="FFFFFF"/>
          </w:tcPr>
          <w:p w:rsidR="0089074A" w:rsidRDefault="00185114">
            <w:pPr>
              <w:spacing w:line="360" w:lineRule="auto"/>
              <w:rPr>
                <w:rFonts w:asciiTheme="minorEastAsia" w:eastAsiaTheme="majorEastAsia" w:hAnsiTheme="minorEastAsia" w:cstheme="majorBidi"/>
                <w:b/>
                <w:bCs/>
                <w:sz w:val="18"/>
                <w:szCs w:val="18"/>
              </w:rPr>
            </w:pPr>
            <w:r>
              <w:rPr>
                <w:rFonts w:asciiTheme="minorEastAsia" w:hAnsiTheme="minorEastAsia" w:cs="Times New Roman"/>
                <w:sz w:val="18"/>
                <w:szCs w:val="18"/>
              </w:rPr>
              <w:t>1.</w:t>
            </w:r>
            <w:r>
              <w:rPr>
                <w:rFonts w:ascii="宋体" w:hAnsi="宋体" w:hint="eastAsia"/>
                <w:bCs/>
                <w:sz w:val="18"/>
                <w:szCs w:val="18"/>
              </w:rPr>
              <w:t>本产品封闭期为：</w:t>
            </w:r>
            <w:r>
              <w:rPr>
                <w:rFonts w:asciiTheme="minorEastAsia" w:hAnsiTheme="minorEastAsia" w:cs="Times New Roman" w:hint="eastAsia"/>
                <w:sz w:val="18"/>
                <w:szCs w:val="18"/>
              </w:rPr>
              <w:t>【</w:t>
            </w:r>
            <w:r w:rsidR="00B731D0">
              <w:rPr>
                <w:rFonts w:asciiTheme="minorEastAsia" w:hAnsiTheme="minorEastAsia" w:cs="Times New Roman" w:hint="eastAsia"/>
                <w:sz w:val="18"/>
                <w:szCs w:val="18"/>
              </w:rPr>
              <w:t>/</w:t>
            </w:r>
            <w:r>
              <w:rPr>
                <w:rFonts w:asciiTheme="minorEastAsia" w:hAnsiTheme="minorEastAsia" w:cs="Times New Roman"/>
                <w:sz w:val="18"/>
                <w:szCs w:val="18"/>
              </w:rPr>
              <w:t>】年【</w:t>
            </w:r>
            <w:r w:rsidR="00B731D0">
              <w:rPr>
                <w:rFonts w:asciiTheme="minorEastAsia" w:hAnsiTheme="minorEastAsia" w:cs="Times New Roman" w:hint="eastAsia"/>
                <w:sz w:val="18"/>
                <w:szCs w:val="18"/>
              </w:rPr>
              <w:t>/</w:t>
            </w:r>
            <w:r>
              <w:rPr>
                <w:rFonts w:asciiTheme="minorEastAsia" w:hAnsiTheme="minorEastAsia" w:cs="Times New Roman" w:hint="eastAsia"/>
                <w:sz w:val="18"/>
                <w:szCs w:val="18"/>
              </w:rPr>
              <w:t>】月【</w:t>
            </w:r>
            <w:r w:rsidR="00B731D0">
              <w:rPr>
                <w:rFonts w:asciiTheme="minorEastAsia" w:hAnsiTheme="minorEastAsia" w:cs="Times New Roman" w:hint="eastAsia"/>
                <w:sz w:val="18"/>
                <w:szCs w:val="18"/>
              </w:rPr>
              <w:t>/</w:t>
            </w:r>
            <w:r>
              <w:rPr>
                <w:rFonts w:asciiTheme="minorEastAsia" w:hAnsiTheme="minorEastAsia" w:cs="Times New Roman" w:hint="eastAsia"/>
                <w:sz w:val="18"/>
                <w:szCs w:val="18"/>
              </w:rPr>
              <w:t>】日</w:t>
            </w:r>
            <w:r>
              <w:rPr>
                <w:rFonts w:asciiTheme="minorEastAsia" w:hAnsiTheme="minorEastAsia" w:cs="仿宋_GB2312" w:hint="eastAsia"/>
                <w:sz w:val="18"/>
                <w:szCs w:val="18"/>
              </w:rPr>
              <w:t>至</w:t>
            </w:r>
            <w:r>
              <w:rPr>
                <w:rFonts w:asciiTheme="minorEastAsia" w:hAnsiTheme="minorEastAsia" w:cs="Times New Roman" w:hint="eastAsia"/>
                <w:sz w:val="18"/>
                <w:szCs w:val="18"/>
              </w:rPr>
              <w:t>【</w:t>
            </w:r>
            <w:r w:rsidR="00B731D0">
              <w:rPr>
                <w:rFonts w:asciiTheme="minorEastAsia" w:hAnsiTheme="minorEastAsia" w:cs="Times New Roman" w:hint="eastAsia"/>
                <w:sz w:val="18"/>
                <w:szCs w:val="18"/>
              </w:rPr>
              <w:t>/</w:t>
            </w:r>
            <w:r>
              <w:rPr>
                <w:rFonts w:asciiTheme="minorEastAsia" w:hAnsiTheme="minorEastAsia" w:cs="Times New Roman"/>
                <w:sz w:val="18"/>
                <w:szCs w:val="18"/>
              </w:rPr>
              <w:t>】年【</w:t>
            </w:r>
            <w:r w:rsidR="00B731D0">
              <w:rPr>
                <w:rFonts w:asciiTheme="minorEastAsia" w:hAnsiTheme="minorEastAsia" w:cs="Times New Roman" w:hint="eastAsia"/>
                <w:sz w:val="18"/>
                <w:szCs w:val="18"/>
              </w:rPr>
              <w:t>/</w:t>
            </w:r>
            <w:r>
              <w:rPr>
                <w:rFonts w:asciiTheme="minorEastAsia" w:hAnsiTheme="minorEastAsia" w:cs="Times New Roman" w:hint="eastAsia"/>
                <w:sz w:val="18"/>
                <w:szCs w:val="18"/>
              </w:rPr>
              <w:t>】月【</w:t>
            </w:r>
            <w:r w:rsidR="00B731D0">
              <w:rPr>
                <w:rFonts w:asciiTheme="minorEastAsia" w:hAnsiTheme="minorEastAsia" w:cs="Times New Roman" w:hint="eastAsia"/>
                <w:sz w:val="18"/>
                <w:szCs w:val="18"/>
              </w:rPr>
              <w:t>/</w:t>
            </w:r>
            <w:r>
              <w:rPr>
                <w:rFonts w:asciiTheme="minorEastAsia" w:hAnsiTheme="minorEastAsia" w:cs="Times New Roman" w:hint="eastAsia"/>
                <w:sz w:val="18"/>
                <w:szCs w:val="18"/>
              </w:rPr>
              <w:t>】日</w:t>
            </w:r>
            <w:r>
              <w:rPr>
                <w:rFonts w:asciiTheme="majorEastAsia" w:eastAsiaTheme="majorEastAsia" w:hAnsiTheme="majorEastAsia" w:hint="eastAsia"/>
                <w:sz w:val="18"/>
                <w:szCs w:val="18"/>
              </w:rPr>
              <w:t>。</w:t>
            </w:r>
          </w:p>
          <w:p w:rsidR="0089074A" w:rsidRDefault="00185114">
            <w:pPr>
              <w:spacing w:line="360" w:lineRule="auto"/>
              <w:rPr>
                <w:rFonts w:asciiTheme="minorEastAsia" w:hAnsiTheme="minorEastAsia"/>
                <w:bCs/>
                <w:sz w:val="18"/>
                <w:szCs w:val="18"/>
              </w:rPr>
            </w:pPr>
            <w:r>
              <w:rPr>
                <w:rFonts w:asciiTheme="minorEastAsia" w:hAnsiTheme="minorEastAsia"/>
                <w:sz w:val="18"/>
                <w:szCs w:val="18"/>
              </w:rPr>
              <w:t>2.</w:t>
            </w:r>
            <w:r>
              <w:rPr>
                <w:rFonts w:asciiTheme="minorEastAsia" w:hAnsiTheme="minorEastAsia" w:hint="eastAsia"/>
                <w:sz w:val="18"/>
                <w:szCs w:val="18"/>
              </w:rPr>
              <w:t>封闭期内不接受申购或赎回申请。</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hAnsi="宋体" w:hint="eastAsia"/>
                <w:sz w:val="18"/>
                <w:szCs w:val="18"/>
              </w:rPr>
              <w:t>★</w:t>
            </w:r>
            <w:r>
              <w:rPr>
                <w:rFonts w:ascii="宋体" w:hAnsi="宋体" w:hint="eastAsia"/>
                <w:b/>
                <w:bCs/>
                <w:kern w:val="0"/>
                <w:sz w:val="18"/>
                <w:szCs w:val="18"/>
              </w:rPr>
              <w:t>申购/赎回安排</w:t>
            </w:r>
          </w:p>
        </w:tc>
        <w:tc>
          <w:tcPr>
            <w:tcW w:w="7704" w:type="dxa"/>
            <w:shd w:val="solid" w:color="FFFFFF" w:fill="FFFFFF"/>
          </w:tcPr>
          <w:p w:rsidR="0089074A" w:rsidRDefault="00185114">
            <w:pPr>
              <w:spacing w:line="360" w:lineRule="auto"/>
              <w:rPr>
                <w:rFonts w:asciiTheme="minorEastAsia" w:hAnsiTheme="minorEastAsia"/>
                <w:sz w:val="18"/>
                <w:szCs w:val="18"/>
              </w:rPr>
            </w:pPr>
            <w:r>
              <w:rPr>
                <w:rFonts w:asciiTheme="minorEastAsia" w:hAnsiTheme="minorEastAsia" w:hint="eastAsia"/>
                <w:sz w:val="18"/>
                <w:szCs w:val="18"/>
              </w:rPr>
              <w:t>1</w:t>
            </w:r>
            <w:r>
              <w:rPr>
                <w:rFonts w:asciiTheme="minorEastAsia" w:hAnsiTheme="minorEastAsia"/>
                <w:sz w:val="18"/>
                <w:szCs w:val="18"/>
              </w:rPr>
              <w:t>.</w:t>
            </w:r>
            <w:r>
              <w:rPr>
                <w:rFonts w:asciiTheme="minorEastAsia" w:hAnsiTheme="minorEastAsia" w:hint="eastAsia"/>
                <w:sz w:val="18"/>
                <w:szCs w:val="18"/>
              </w:rPr>
              <w:t>本产品在封闭期后，产品按以下规则设置开放期：</w:t>
            </w:r>
          </w:p>
          <w:p w:rsidR="0089074A" w:rsidRDefault="00185114">
            <w:pPr>
              <w:spacing w:line="360" w:lineRule="auto"/>
              <w:rPr>
                <w:rFonts w:asciiTheme="minorEastAsia" w:hAnsiTheme="minorEastAsia"/>
                <w:sz w:val="18"/>
                <w:szCs w:val="18"/>
              </w:rPr>
            </w:pPr>
            <w:r>
              <w:rPr>
                <w:rFonts w:asciiTheme="minorEastAsia" w:hAnsiTheme="minorEastAsia" w:hint="eastAsia"/>
                <w:sz w:val="18"/>
                <w:szCs w:val="18"/>
              </w:rPr>
              <w:t>（1）本</w:t>
            </w:r>
            <w:r>
              <w:rPr>
                <w:rFonts w:asciiTheme="minorEastAsia" w:hAnsiTheme="minorEastAsia"/>
                <w:sz w:val="18"/>
                <w:szCs w:val="18"/>
              </w:rPr>
              <w:t>产品成立后</w:t>
            </w:r>
            <w:r>
              <w:rPr>
                <w:rFonts w:asciiTheme="minorEastAsia" w:hAnsiTheme="minorEastAsia" w:hint="eastAsia"/>
                <w:sz w:val="18"/>
                <w:szCs w:val="18"/>
              </w:rPr>
              <w:t>，</w:t>
            </w:r>
            <w:r>
              <w:rPr>
                <w:rFonts w:asciiTheme="minorEastAsia" w:hAnsiTheme="minorEastAsia"/>
                <w:sz w:val="18"/>
                <w:szCs w:val="18"/>
              </w:rPr>
              <w:t>在封闭期之</w:t>
            </w:r>
            <w:r>
              <w:rPr>
                <w:rFonts w:asciiTheme="minorEastAsia" w:hAnsiTheme="minorEastAsia" w:hint="eastAsia"/>
                <w:sz w:val="18"/>
                <w:szCs w:val="18"/>
              </w:rPr>
              <w:t>后的每个【工作日】为开放日，开放日开放投资者的申购与赎回；</w:t>
            </w:r>
          </w:p>
          <w:p w:rsidR="0089074A" w:rsidRDefault="00185114">
            <w:pPr>
              <w:spacing w:line="360" w:lineRule="auto"/>
              <w:rPr>
                <w:rFonts w:asciiTheme="minorEastAsia" w:hAnsiTheme="minorEastAsia"/>
                <w:sz w:val="18"/>
                <w:szCs w:val="18"/>
              </w:rPr>
            </w:pPr>
            <w:r>
              <w:rPr>
                <w:rFonts w:asciiTheme="minorEastAsia" w:hAnsiTheme="minorEastAsia" w:hint="eastAsia"/>
                <w:sz w:val="18"/>
                <w:szCs w:val="18"/>
              </w:rPr>
              <w:t>（2）产品管理人公告暂停开放的日期除外。</w:t>
            </w:r>
          </w:p>
          <w:p w:rsidR="0089074A" w:rsidRDefault="00185114">
            <w:pPr>
              <w:spacing w:line="360" w:lineRule="auto"/>
              <w:rPr>
                <w:rFonts w:asciiTheme="minorEastAsia" w:hAnsiTheme="minorEastAsia"/>
                <w:b/>
                <w:sz w:val="18"/>
                <w:szCs w:val="18"/>
              </w:rPr>
            </w:pPr>
            <w:r>
              <w:rPr>
                <w:rFonts w:asciiTheme="minorEastAsia" w:hAnsiTheme="minorEastAsia" w:hint="eastAsia"/>
                <w:sz w:val="18"/>
                <w:szCs w:val="18"/>
              </w:rPr>
              <w:t>2</w:t>
            </w:r>
            <w:r>
              <w:rPr>
                <w:rFonts w:asciiTheme="minorEastAsia" w:hAnsiTheme="minorEastAsia"/>
                <w:sz w:val="18"/>
                <w:szCs w:val="18"/>
              </w:rPr>
              <w:t>.</w:t>
            </w:r>
            <w:r>
              <w:rPr>
                <w:rFonts w:asciiTheme="minorEastAsia" w:hAnsiTheme="minorEastAsia" w:hint="eastAsia"/>
                <w:sz w:val="18"/>
                <w:szCs w:val="18"/>
              </w:rPr>
              <w:t>申购安排</w:t>
            </w:r>
          </w:p>
          <w:p w:rsidR="0089074A" w:rsidRDefault="00185114">
            <w:pPr>
              <w:spacing w:line="360" w:lineRule="auto"/>
              <w:rPr>
                <w:rFonts w:asciiTheme="minorEastAsia" w:eastAsia="黑体" w:hAnsiTheme="minorEastAsia"/>
                <w:b/>
                <w:sz w:val="18"/>
                <w:szCs w:val="18"/>
              </w:rPr>
            </w:pPr>
            <w:r>
              <w:rPr>
                <w:rFonts w:asciiTheme="minorEastAsia" w:hAnsiTheme="minorEastAsia" w:hint="eastAsia"/>
                <w:sz w:val="18"/>
                <w:szCs w:val="18"/>
              </w:rPr>
              <w:t>（1）申购的时间</w:t>
            </w:r>
          </w:p>
          <w:p w:rsidR="0089074A" w:rsidRDefault="00185114">
            <w:pPr>
              <w:spacing w:line="360" w:lineRule="auto"/>
              <w:rPr>
                <w:rFonts w:asciiTheme="minorEastAsia" w:hAnsiTheme="minorEastAsia"/>
                <w:sz w:val="18"/>
                <w:szCs w:val="18"/>
              </w:rPr>
            </w:pPr>
            <w:r>
              <w:rPr>
                <w:rFonts w:asciiTheme="minorEastAsia" w:hAnsiTheme="minorEastAsia" w:hint="eastAsia"/>
                <w:sz w:val="18"/>
                <w:szCs w:val="18"/>
              </w:rPr>
              <w:t>本产品封闭期后的每个开放日开放申购。投资者可于开放日内提交申购申请，产品管理人公告暂停开放的日期除外。</w:t>
            </w:r>
          </w:p>
          <w:p w:rsidR="0089074A" w:rsidRDefault="00185114">
            <w:pPr>
              <w:spacing w:line="360" w:lineRule="auto"/>
              <w:rPr>
                <w:rFonts w:asciiTheme="minorEastAsia" w:eastAsia="黑体" w:hAnsiTheme="minorEastAsia"/>
                <w:b/>
                <w:sz w:val="18"/>
                <w:szCs w:val="18"/>
              </w:rPr>
            </w:pPr>
            <w:r>
              <w:rPr>
                <w:rFonts w:asciiTheme="minorEastAsia" w:hAnsiTheme="minorEastAsia" w:hint="eastAsia"/>
                <w:sz w:val="18"/>
                <w:szCs w:val="18"/>
              </w:rPr>
              <w:t>（2）申购的确认</w:t>
            </w:r>
          </w:p>
          <w:tbl>
            <w:tblPr>
              <w:tblStyle w:val="af"/>
              <w:tblW w:w="750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837"/>
              <w:gridCol w:w="1701"/>
              <w:gridCol w:w="1984"/>
              <w:gridCol w:w="1985"/>
            </w:tblGrid>
            <w:tr w:rsidR="0089074A">
              <w:trPr>
                <w:trHeight w:val="259"/>
              </w:trPr>
              <w:tc>
                <w:tcPr>
                  <w:tcW w:w="1837" w:type="dxa"/>
                  <w:vAlign w:val="center"/>
                </w:tcPr>
                <w:p w:rsidR="0089074A" w:rsidRDefault="00185114">
                  <w:pPr>
                    <w:spacing w:line="360" w:lineRule="auto"/>
                    <w:jc w:val="center"/>
                    <w:rPr>
                      <w:rFonts w:asciiTheme="minorEastAsia" w:hAnsiTheme="minorEastAsia"/>
                      <w:b/>
                      <w:bCs/>
                      <w:sz w:val="18"/>
                      <w:szCs w:val="18"/>
                    </w:rPr>
                  </w:pPr>
                  <w:r>
                    <w:rPr>
                      <w:rFonts w:asciiTheme="majorEastAsia" w:eastAsiaTheme="majorEastAsia" w:hAnsiTheme="majorEastAsia" w:hint="eastAsia"/>
                      <w:b/>
                      <w:bCs/>
                      <w:sz w:val="18"/>
                      <w:szCs w:val="18"/>
                    </w:rPr>
                    <w:t>申购申请日</w:t>
                  </w:r>
                </w:p>
              </w:tc>
              <w:tc>
                <w:tcPr>
                  <w:tcW w:w="1701" w:type="dxa"/>
                  <w:vAlign w:val="center"/>
                </w:tcPr>
                <w:p w:rsidR="0089074A" w:rsidRDefault="00185114">
                  <w:pPr>
                    <w:spacing w:line="360" w:lineRule="auto"/>
                    <w:jc w:val="center"/>
                    <w:rPr>
                      <w:rFonts w:asciiTheme="minorEastAsia" w:hAnsiTheme="minorEastAsia" w:cs="Times New Roman"/>
                      <w:b/>
                      <w:bCs/>
                      <w:sz w:val="18"/>
                      <w:szCs w:val="18"/>
                    </w:rPr>
                  </w:pPr>
                  <w:r>
                    <w:rPr>
                      <w:rFonts w:asciiTheme="minorEastAsia" w:hAnsiTheme="minorEastAsia" w:cs="Times New Roman" w:hint="eastAsia"/>
                      <w:b/>
                      <w:bCs/>
                      <w:sz w:val="18"/>
                      <w:szCs w:val="18"/>
                    </w:rPr>
                    <w:t>申购日</w:t>
                  </w:r>
                </w:p>
              </w:tc>
              <w:tc>
                <w:tcPr>
                  <w:tcW w:w="1984" w:type="dxa"/>
                  <w:vAlign w:val="center"/>
                </w:tcPr>
                <w:p w:rsidR="0089074A" w:rsidRDefault="00185114">
                  <w:pPr>
                    <w:spacing w:line="360" w:lineRule="auto"/>
                    <w:jc w:val="center"/>
                    <w:rPr>
                      <w:rFonts w:asciiTheme="minorEastAsia" w:hAnsiTheme="minorEastAsia"/>
                      <w:b/>
                      <w:bCs/>
                      <w:sz w:val="18"/>
                      <w:szCs w:val="18"/>
                    </w:rPr>
                  </w:pPr>
                  <w:r>
                    <w:rPr>
                      <w:rFonts w:asciiTheme="minorEastAsia" w:hAnsiTheme="minorEastAsia" w:cs="Times New Roman" w:hint="eastAsia"/>
                      <w:b/>
                      <w:bCs/>
                      <w:sz w:val="18"/>
                      <w:szCs w:val="18"/>
                    </w:rPr>
                    <w:t>申购确认日</w:t>
                  </w:r>
                </w:p>
              </w:tc>
              <w:tc>
                <w:tcPr>
                  <w:tcW w:w="1985" w:type="dxa"/>
                  <w:vAlign w:val="center"/>
                </w:tcPr>
                <w:p w:rsidR="0089074A" w:rsidRDefault="00185114">
                  <w:pPr>
                    <w:spacing w:line="360" w:lineRule="auto"/>
                    <w:jc w:val="center"/>
                    <w:rPr>
                      <w:rFonts w:asciiTheme="minorEastAsia" w:hAnsiTheme="minorEastAsia" w:cs="Times New Roman"/>
                      <w:b/>
                      <w:bCs/>
                      <w:sz w:val="18"/>
                      <w:szCs w:val="18"/>
                    </w:rPr>
                  </w:pPr>
                  <w:r>
                    <w:rPr>
                      <w:rFonts w:asciiTheme="minorEastAsia" w:hAnsiTheme="minorEastAsia" w:cs="Times New Roman" w:hint="eastAsia"/>
                      <w:b/>
                      <w:bCs/>
                      <w:sz w:val="18"/>
                      <w:szCs w:val="18"/>
                    </w:rPr>
                    <w:t>申购确认方式</w:t>
                  </w:r>
                </w:p>
              </w:tc>
            </w:tr>
            <w:tr w:rsidR="0089074A">
              <w:trPr>
                <w:trHeight w:val="520"/>
              </w:trPr>
              <w:tc>
                <w:tcPr>
                  <w:tcW w:w="1837"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开放日内交易时间：</w:t>
                  </w:r>
                  <w:r>
                    <w:rPr>
                      <w:rFonts w:asciiTheme="majorEastAsia" w:eastAsiaTheme="majorEastAsia" w:hAnsiTheme="majorEastAsia"/>
                      <w:bCs/>
                      <w:sz w:val="18"/>
                      <w:szCs w:val="18"/>
                    </w:rPr>
                    <w:t>【0：00】</w:t>
                  </w:r>
                  <w:r>
                    <w:rPr>
                      <w:rFonts w:asciiTheme="majorEastAsia" w:eastAsiaTheme="majorEastAsia" w:hAnsiTheme="majorEastAsia" w:hint="eastAsia"/>
                      <w:bCs/>
                      <w:sz w:val="18"/>
                      <w:szCs w:val="18"/>
                    </w:rPr>
                    <w:t xml:space="preserve">-【17：00】 </w:t>
                  </w:r>
                </w:p>
              </w:tc>
              <w:tc>
                <w:tcPr>
                  <w:tcW w:w="1701"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申购申请日当日</w:t>
                  </w:r>
                </w:p>
              </w:tc>
              <w:tc>
                <w:tcPr>
                  <w:tcW w:w="1984"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申购日后的下一个开放日</w:t>
                  </w:r>
                </w:p>
              </w:tc>
              <w:tc>
                <w:tcPr>
                  <w:tcW w:w="1985" w:type="dxa"/>
                  <w:vMerge w:val="restart"/>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产品管理人在申购确认日对投资者的申购申请的有效性进行确认，并登记理财份额。</w:t>
                  </w:r>
                </w:p>
              </w:tc>
            </w:tr>
            <w:tr w:rsidR="0089074A">
              <w:trPr>
                <w:trHeight w:val="520"/>
              </w:trPr>
              <w:tc>
                <w:tcPr>
                  <w:tcW w:w="1837"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开放日内非交易时间：</w:t>
                  </w:r>
                  <w:r>
                    <w:rPr>
                      <w:rFonts w:asciiTheme="majorEastAsia" w:eastAsiaTheme="majorEastAsia" w:hAnsiTheme="majorEastAsia"/>
                      <w:bCs/>
                      <w:sz w:val="18"/>
                      <w:szCs w:val="18"/>
                    </w:rPr>
                    <w:t>【17：00】</w:t>
                  </w:r>
                  <w:r>
                    <w:rPr>
                      <w:rFonts w:asciiTheme="majorEastAsia" w:eastAsiaTheme="majorEastAsia" w:hAnsiTheme="majorEastAsia" w:hint="eastAsia"/>
                      <w:bCs/>
                      <w:sz w:val="18"/>
                      <w:szCs w:val="18"/>
                    </w:rPr>
                    <w:t xml:space="preserve">-【24：00】 </w:t>
                  </w:r>
                </w:p>
              </w:tc>
              <w:tc>
                <w:tcPr>
                  <w:tcW w:w="1701"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申购申请日后的下一个开放日</w:t>
                  </w:r>
                </w:p>
              </w:tc>
              <w:tc>
                <w:tcPr>
                  <w:tcW w:w="1984"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申购日后的下一个开放日</w:t>
                  </w:r>
                </w:p>
              </w:tc>
              <w:tc>
                <w:tcPr>
                  <w:tcW w:w="1985" w:type="dxa"/>
                  <w:vMerge/>
                </w:tcPr>
                <w:p w:rsidR="0089074A" w:rsidRDefault="0089074A">
                  <w:pPr>
                    <w:spacing w:line="360" w:lineRule="auto"/>
                    <w:jc w:val="left"/>
                    <w:rPr>
                      <w:rFonts w:asciiTheme="majorEastAsia" w:eastAsiaTheme="majorEastAsia" w:hAnsiTheme="majorEastAsia"/>
                      <w:bCs/>
                      <w:sz w:val="18"/>
                      <w:szCs w:val="18"/>
                    </w:rPr>
                  </w:pPr>
                </w:p>
              </w:tc>
            </w:tr>
            <w:tr w:rsidR="0089074A">
              <w:trPr>
                <w:trHeight w:val="520"/>
              </w:trPr>
              <w:tc>
                <w:tcPr>
                  <w:tcW w:w="1837"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 xml:space="preserve">非开放日 </w:t>
                  </w:r>
                </w:p>
              </w:tc>
              <w:tc>
                <w:tcPr>
                  <w:tcW w:w="1701"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申购申请日后的下一个开放日</w:t>
                  </w:r>
                </w:p>
              </w:tc>
              <w:tc>
                <w:tcPr>
                  <w:tcW w:w="1984" w:type="dxa"/>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申购日后的下一个开放日</w:t>
                  </w:r>
                </w:p>
              </w:tc>
              <w:tc>
                <w:tcPr>
                  <w:tcW w:w="1985" w:type="dxa"/>
                  <w:vMerge/>
                </w:tcPr>
                <w:p w:rsidR="0089074A" w:rsidRDefault="0089074A">
                  <w:pPr>
                    <w:spacing w:line="360" w:lineRule="auto"/>
                    <w:jc w:val="left"/>
                    <w:rPr>
                      <w:rFonts w:asciiTheme="majorEastAsia" w:eastAsiaTheme="majorEastAsia" w:hAnsiTheme="majorEastAsia"/>
                      <w:bCs/>
                      <w:sz w:val="18"/>
                      <w:szCs w:val="18"/>
                    </w:rPr>
                  </w:pPr>
                </w:p>
              </w:tc>
            </w:tr>
          </w:tbl>
          <w:p w:rsidR="0089074A" w:rsidRDefault="00185114">
            <w:pPr>
              <w:spacing w:line="360" w:lineRule="auto"/>
              <w:rPr>
                <w:rFonts w:asciiTheme="minorEastAsia" w:hAnsiTheme="minorEastAsia"/>
                <w:sz w:val="18"/>
                <w:szCs w:val="18"/>
              </w:rPr>
            </w:pPr>
            <w:r>
              <w:rPr>
                <w:rFonts w:asciiTheme="minorEastAsia" w:hAnsiTheme="minorEastAsia"/>
                <w:sz w:val="18"/>
                <w:szCs w:val="18"/>
              </w:rPr>
              <w:t>3.赎回</w:t>
            </w:r>
            <w:r>
              <w:rPr>
                <w:rFonts w:asciiTheme="minorEastAsia" w:hAnsiTheme="minorEastAsia" w:hint="eastAsia"/>
                <w:sz w:val="18"/>
                <w:szCs w:val="18"/>
              </w:rPr>
              <w:t>安排</w:t>
            </w:r>
          </w:p>
          <w:p w:rsidR="0089074A" w:rsidRDefault="00185114">
            <w:pPr>
              <w:spacing w:line="360" w:lineRule="auto"/>
              <w:rPr>
                <w:rFonts w:asciiTheme="minorEastAsia" w:hAnsiTheme="minorEastAsia"/>
                <w:sz w:val="18"/>
                <w:szCs w:val="18"/>
              </w:rPr>
            </w:pPr>
            <w:r>
              <w:rPr>
                <w:rFonts w:asciiTheme="minorEastAsia" w:hAnsiTheme="minorEastAsia" w:hint="eastAsia"/>
                <w:sz w:val="18"/>
                <w:szCs w:val="18"/>
              </w:rPr>
              <w:lastRenderedPageBreak/>
              <w:t>（1）赎回的时间</w:t>
            </w:r>
          </w:p>
          <w:p w:rsidR="0089074A" w:rsidRDefault="00185114">
            <w:pPr>
              <w:spacing w:line="360" w:lineRule="auto"/>
              <w:rPr>
                <w:rFonts w:asciiTheme="minorEastAsia" w:hAnsiTheme="minorEastAsia"/>
                <w:sz w:val="18"/>
                <w:szCs w:val="18"/>
              </w:rPr>
            </w:pPr>
            <w:r>
              <w:rPr>
                <w:rFonts w:asciiTheme="minorEastAsia" w:hAnsiTheme="minorEastAsia" w:hint="eastAsia"/>
                <w:sz w:val="18"/>
                <w:szCs w:val="18"/>
              </w:rPr>
              <w:t>本产品</w:t>
            </w:r>
            <w:r>
              <w:rPr>
                <w:rFonts w:asciiTheme="minorEastAsia" w:hAnsiTheme="minorEastAsia"/>
                <w:sz w:val="18"/>
                <w:szCs w:val="18"/>
              </w:rPr>
              <w:t>封闭期</w:t>
            </w:r>
            <w:r>
              <w:rPr>
                <w:rFonts w:asciiTheme="minorEastAsia" w:hAnsiTheme="minorEastAsia" w:hint="eastAsia"/>
                <w:sz w:val="18"/>
                <w:szCs w:val="18"/>
              </w:rPr>
              <w:t>后</w:t>
            </w:r>
            <w:r>
              <w:rPr>
                <w:rFonts w:asciiTheme="minorEastAsia" w:hAnsiTheme="minorEastAsia" w:cs="Times New Roman" w:hint="eastAsia"/>
                <w:sz w:val="18"/>
                <w:szCs w:val="18"/>
              </w:rPr>
              <w:t>的</w:t>
            </w:r>
            <w:r>
              <w:rPr>
                <w:rFonts w:asciiTheme="minorEastAsia" w:hAnsiTheme="minorEastAsia" w:hint="eastAsia"/>
                <w:sz w:val="18"/>
                <w:szCs w:val="18"/>
              </w:rPr>
              <w:t>每个开放日开放</w:t>
            </w:r>
            <w:r>
              <w:rPr>
                <w:rFonts w:asciiTheme="minorEastAsia" w:hAnsiTheme="minorEastAsia" w:hint="eastAsia"/>
                <w:bCs/>
                <w:sz w:val="18"/>
                <w:szCs w:val="18"/>
              </w:rPr>
              <w:t>赎回</w:t>
            </w:r>
            <w:r>
              <w:rPr>
                <w:rFonts w:asciiTheme="minorEastAsia" w:hAnsiTheme="minorEastAsia"/>
                <w:sz w:val="18"/>
                <w:szCs w:val="18"/>
              </w:rPr>
              <w:t>。</w:t>
            </w:r>
            <w:r>
              <w:rPr>
                <w:rFonts w:asciiTheme="minorEastAsia" w:hAnsiTheme="minorEastAsia" w:hint="eastAsia"/>
                <w:sz w:val="18"/>
                <w:szCs w:val="18"/>
              </w:rPr>
              <w:t>投资者可于开放日内提交赎回申请，产品管理人公告暂停开放的日期除外</w:t>
            </w:r>
            <w:r>
              <w:rPr>
                <w:rFonts w:asciiTheme="majorEastAsia" w:eastAsiaTheme="majorEastAsia" w:hAnsiTheme="majorEastAsia" w:hint="eastAsia"/>
                <w:bCs/>
                <w:sz w:val="18"/>
                <w:szCs w:val="18"/>
              </w:rPr>
              <w:t>。</w:t>
            </w:r>
          </w:p>
          <w:p w:rsidR="0089074A" w:rsidRDefault="00185114">
            <w:pPr>
              <w:spacing w:line="360" w:lineRule="auto"/>
              <w:rPr>
                <w:rFonts w:asciiTheme="minorEastAsia" w:hAnsiTheme="minorEastAsia"/>
                <w:sz w:val="18"/>
                <w:szCs w:val="18"/>
              </w:rPr>
            </w:pPr>
            <w:r>
              <w:rPr>
                <w:rFonts w:asciiTheme="minorEastAsia" w:hAnsiTheme="minorEastAsia" w:hint="eastAsia"/>
                <w:sz w:val="18"/>
                <w:szCs w:val="18"/>
              </w:rPr>
              <w:t>（2）赎回的确认</w:t>
            </w:r>
          </w:p>
          <w:tbl>
            <w:tblPr>
              <w:tblStyle w:val="af"/>
              <w:tblW w:w="756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833"/>
              <w:gridCol w:w="1701"/>
              <w:gridCol w:w="1984"/>
              <w:gridCol w:w="2043"/>
            </w:tblGrid>
            <w:tr w:rsidR="0089074A">
              <w:trPr>
                <w:trHeight w:val="474"/>
                <w:jc w:val="center"/>
              </w:trPr>
              <w:tc>
                <w:tcPr>
                  <w:tcW w:w="1833" w:type="dxa"/>
                  <w:vAlign w:val="center"/>
                </w:tcPr>
                <w:p w:rsidR="0089074A" w:rsidRDefault="00185114">
                  <w:pPr>
                    <w:spacing w:line="360" w:lineRule="auto"/>
                    <w:jc w:val="left"/>
                    <w:rPr>
                      <w:rFonts w:asciiTheme="minorEastAsia" w:eastAsiaTheme="minorEastAsia" w:hAnsiTheme="minorEastAsia"/>
                      <w:b/>
                      <w:bCs/>
                      <w:sz w:val="18"/>
                      <w:szCs w:val="18"/>
                    </w:rPr>
                  </w:pPr>
                  <w:r>
                    <w:rPr>
                      <w:rFonts w:asciiTheme="minorEastAsia" w:eastAsiaTheme="minorEastAsia" w:hAnsiTheme="minorEastAsia" w:cs="Times New Roman" w:hint="eastAsia"/>
                      <w:b/>
                      <w:bCs/>
                      <w:kern w:val="0"/>
                      <w:sz w:val="18"/>
                      <w:szCs w:val="18"/>
                    </w:rPr>
                    <w:t>赎回申请日</w:t>
                  </w:r>
                </w:p>
              </w:tc>
              <w:tc>
                <w:tcPr>
                  <w:tcW w:w="1701" w:type="dxa"/>
                </w:tcPr>
                <w:p w:rsidR="0089074A" w:rsidRDefault="00185114">
                  <w:pPr>
                    <w:spacing w:line="360" w:lineRule="auto"/>
                    <w:jc w:val="left"/>
                    <w:rPr>
                      <w:rFonts w:asciiTheme="minorEastAsia" w:eastAsiaTheme="minorEastAsia" w:hAnsiTheme="minorEastAsia" w:cs="Times New Roman"/>
                      <w:b/>
                      <w:bCs/>
                      <w:kern w:val="0"/>
                      <w:sz w:val="18"/>
                      <w:szCs w:val="18"/>
                    </w:rPr>
                  </w:pPr>
                  <w:r>
                    <w:rPr>
                      <w:rFonts w:asciiTheme="minorEastAsia" w:eastAsiaTheme="minorEastAsia" w:hAnsiTheme="minorEastAsia" w:cs="Times New Roman" w:hint="eastAsia"/>
                      <w:b/>
                      <w:bCs/>
                      <w:kern w:val="0"/>
                      <w:sz w:val="18"/>
                      <w:szCs w:val="18"/>
                    </w:rPr>
                    <w:t>赎回</w:t>
                  </w:r>
                  <w:r>
                    <w:rPr>
                      <w:rFonts w:asciiTheme="minorEastAsia" w:eastAsiaTheme="minorEastAsia" w:hAnsiTheme="minorEastAsia" w:cs="Times New Roman"/>
                      <w:b/>
                      <w:bCs/>
                      <w:kern w:val="0"/>
                      <w:sz w:val="18"/>
                      <w:szCs w:val="18"/>
                    </w:rPr>
                    <w:t>日</w:t>
                  </w:r>
                </w:p>
              </w:tc>
              <w:tc>
                <w:tcPr>
                  <w:tcW w:w="1984" w:type="dxa"/>
                  <w:vAlign w:val="center"/>
                </w:tcPr>
                <w:p w:rsidR="0089074A" w:rsidRDefault="00185114">
                  <w:pPr>
                    <w:spacing w:line="360" w:lineRule="auto"/>
                    <w:jc w:val="left"/>
                    <w:rPr>
                      <w:rFonts w:asciiTheme="minorEastAsia" w:eastAsiaTheme="minorEastAsia" w:hAnsiTheme="minorEastAsia"/>
                      <w:b/>
                      <w:bCs/>
                      <w:sz w:val="18"/>
                      <w:szCs w:val="18"/>
                    </w:rPr>
                  </w:pPr>
                  <w:r>
                    <w:rPr>
                      <w:rFonts w:asciiTheme="minorEastAsia" w:eastAsiaTheme="minorEastAsia" w:hAnsiTheme="minorEastAsia" w:cs="Times New Roman" w:hint="eastAsia"/>
                      <w:b/>
                      <w:bCs/>
                      <w:kern w:val="0"/>
                      <w:sz w:val="18"/>
                      <w:szCs w:val="18"/>
                    </w:rPr>
                    <w:t>赎回确认日</w:t>
                  </w:r>
                </w:p>
              </w:tc>
              <w:tc>
                <w:tcPr>
                  <w:tcW w:w="2043" w:type="dxa"/>
                  <w:vAlign w:val="center"/>
                </w:tcPr>
                <w:p w:rsidR="0089074A" w:rsidRDefault="00185114">
                  <w:pPr>
                    <w:spacing w:line="360" w:lineRule="auto"/>
                    <w:jc w:val="left"/>
                    <w:rPr>
                      <w:rFonts w:asciiTheme="minorEastAsia" w:eastAsiaTheme="minorEastAsia" w:hAnsiTheme="minorEastAsia"/>
                      <w:b/>
                      <w:bCs/>
                      <w:sz w:val="18"/>
                      <w:szCs w:val="18"/>
                    </w:rPr>
                  </w:pPr>
                  <w:r>
                    <w:rPr>
                      <w:rFonts w:asciiTheme="minorEastAsia" w:eastAsiaTheme="minorEastAsia" w:hAnsiTheme="minorEastAsia" w:cs="Times New Roman" w:hint="eastAsia"/>
                      <w:b/>
                      <w:bCs/>
                      <w:kern w:val="0"/>
                      <w:sz w:val="18"/>
                      <w:szCs w:val="18"/>
                    </w:rPr>
                    <w:t>赎回确认方式</w:t>
                  </w:r>
                </w:p>
              </w:tc>
            </w:tr>
            <w:tr w:rsidR="0089074A">
              <w:trPr>
                <w:trHeight w:val="549"/>
                <w:jc w:val="center"/>
              </w:trPr>
              <w:tc>
                <w:tcPr>
                  <w:tcW w:w="1833" w:type="dxa"/>
                  <w:tcBorders>
                    <w:bottom w:val="single" w:sz="12" w:space="0" w:color="auto"/>
                  </w:tcBorders>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开放日内交易时间：</w:t>
                  </w:r>
                  <w:r>
                    <w:rPr>
                      <w:rFonts w:asciiTheme="majorEastAsia" w:eastAsiaTheme="majorEastAsia" w:hAnsiTheme="majorEastAsia"/>
                      <w:bCs/>
                      <w:sz w:val="18"/>
                      <w:szCs w:val="18"/>
                    </w:rPr>
                    <w:t>【0：00】</w:t>
                  </w:r>
                  <w:r>
                    <w:rPr>
                      <w:rFonts w:asciiTheme="majorEastAsia" w:eastAsiaTheme="majorEastAsia" w:hAnsiTheme="majorEastAsia" w:hint="eastAsia"/>
                      <w:bCs/>
                      <w:sz w:val="18"/>
                      <w:szCs w:val="18"/>
                    </w:rPr>
                    <w:t>-【17：00】</w:t>
                  </w:r>
                </w:p>
              </w:tc>
              <w:tc>
                <w:tcPr>
                  <w:tcW w:w="1701" w:type="dxa"/>
                  <w:tcBorders>
                    <w:bottom w:val="single" w:sz="12" w:space="0" w:color="auto"/>
                  </w:tcBorders>
                  <w:vAlign w:val="center"/>
                </w:tcPr>
                <w:p w:rsidR="0089074A" w:rsidRDefault="00185114">
                  <w:pPr>
                    <w:spacing w:line="360" w:lineRule="auto"/>
                    <w:rPr>
                      <w:rFonts w:asciiTheme="minorEastAsia" w:eastAsiaTheme="minorEastAsia" w:hAnsiTheme="minorEastAsia" w:cs="Times New Roman"/>
                      <w:bCs/>
                      <w:kern w:val="0"/>
                      <w:sz w:val="18"/>
                      <w:szCs w:val="18"/>
                    </w:rPr>
                  </w:pPr>
                  <w:r>
                    <w:rPr>
                      <w:rFonts w:asciiTheme="majorEastAsia" w:eastAsiaTheme="majorEastAsia" w:hAnsiTheme="majorEastAsia" w:hint="eastAsia"/>
                      <w:bCs/>
                      <w:sz w:val="18"/>
                      <w:szCs w:val="18"/>
                    </w:rPr>
                    <w:t>赎回申请日当日</w:t>
                  </w:r>
                </w:p>
              </w:tc>
              <w:tc>
                <w:tcPr>
                  <w:tcW w:w="1984" w:type="dxa"/>
                  <w:tcBorders>
                    <w:bottom w:val="single" w:sz="12" w:space="0" w:color="auto"/>
                  </w:tcBorders>
                  <w:vAlign w:val="center"/>
                </w:tcPr>
                <w:p w:rsidR="0089074A" w:rsidRDefault="00185114">
                  <w:pPr>
                    <w:spacing w:line="360" w:lineRule="auto"/>
                    <w:rPr>
                      <w:rFonts w:asciiTheme="minorEastAsia" w:eastAsiaTheme="minorEastAsia" w:hAnsiTheme="minorEastAsia"/>
                      <w:bCs/>
                      <w:sz w:val="18"/>
                      <w:szCs w:val="18"/>
                    </w:rPr>
                  </w:pPr>
                  <w:r>
                    <w:rPr>
                      <w:rFonts w:asciiTheme="minorEastAsia" w:eastAsiaTheme="minorEastAsia" w:hAnsiTheme="minorEastAsia" w:cs="Times New Roman" w:hint="eastAsia"/>
                      <w:bCs/>
                      <w:kern w:val="0"/>
                      <w:sz w:val="18"/>
                      <w:szCs w:val="18"/>
                    </w:rPr>
                    <w:t>赎回日</w:t>
                  </w:r>
                  <w:r>
                    <w:rPr>
                      <w:rFonts w:asciiTheme="majorEastAsia" w:eastAsiaTheme="majorEastAsia" w:hAnsiTheme="majorEastAsia" w:hint="eastAsia"/>
                      <w:bCs/>
                      <w:sz w:val="18"/>
                      <w:szCs w:val="18"/>
                    </w:rPr>
                    <w:t>后的下一个开放日</w:t>
                  </w:r>
                </w:p>
              </w:tc>
              <w:tc>
                <w:tcPr>
                  <w:tcW w:w="2043" w:type="dxa"/>
                  <w:vMerge w:val="restart"/>
                  <w:vAlign w:val="center"/>
                </w:tcPr>
                <w:p w:rsidR="0089074A" w:rsidRDefault="00185114">
                  <w:pPr>
                    <w:spacing w:line="360" w:lineRule="auto"/>
                    <w:rPr>
                      <w:rFonts w:asciiTheme="minorEastAsia" w:eastAsiaTheme="minorEastAsia" w:hAnsiTheme="minorEastAsia"/>
                      <w:bCs/>
                      <w:sz w:val="18"/>
                      <w:szCs w:val="18"/>
                    </w:rPr>
                  </w:pPr>
                  <w:r>
                    <w:rPr>
                      <w:rFonts w:asciiTheme="minorEastAsia" w:eastAsiaTheme="minorEastAsia" w:hAnsiTheme="minorEastAsia" w:cs="Times New Roman" w:hint="eastAsia"/>
                      <w:bCs/>
                      <w:kern w:val="0"/>
                      <w:sz w:val="18"/>
                      <w:szCs w:val="18"/>
                    </w:rPr>
                    <w:t>产品管理人在赎回</w:t>
                  </w:r>
                  <w:r>
                    <w:rPr>
                      <w:rFonts w:asciiTheme="minorEastAsia" w:eastAsiaTheme="minorEastAsia" w:hAnsiTheme="minorEastAsia" w:cs="Times New Roman"/>
                      <w:bCs/>
                      <w:kern w:val="0"/>
                      <w:sz w:val="18"/>
                      <w:szCs w:val="18"/>
                    </w:rPr>
                    <w:t>确认日</w:t>
                  </w:r>
                  <w:r>
                    <w:rPr>
                      <w:rFonts w:asciiTheme="minorEastAsia" w:eastAsiaTheme="minorEastAsia" w:hAnsiTheme="minorEastAsia" w:cs="Times New Roman" w:hint="eastAsia"/>
                      <w:bCs/>
                      <w:kern w:val="0"/>
                      <w:sz w:val="18"/>
                      <w:szCs w:val="18"/>
                    </w:rPr>
                    <w:t>对赎回申请的有效性进行确认，并注销理财份额。</w:t>
                  </w:r>
                </w:p>
              </w:tc>
            </w:tr>
            <w:tr w:rsidR="0089074A">
              <w:trPr>
                <w:trHeight w:val="899"/>
                <w:jc w:val="center"/>
              </w:trPr>
              <w:tc>
                <w:tcPr>
                  <w:tcW w:w="1833" w:type="dxa"/>
                  <w:tcBorders>
                    <w:top w:val="single" w:sz="12" w:space="0" w:color="auto"/>
                    <w:bottom w:val="single" w:sz="12" w:space="0" w:color="auto"/>
                  </w:tcBorders>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开放日内非交易时间：</w:t>
                  </w:r>
                  <w:r>
                    <w:rPr>
                      <w:rFonts w:asciiTheme="majorEastAsia" w:eastAsiaTheme="majorEastAsia" w:hAnsiTheme="majorEastAsia"/>
                      <w:bCs/>
                      <w:sz w:val="18"/>
                      <w:szCs w:val="18"/>
                    </w:rPr>
                    <w:t>【17：00】</w:t>
                  </w:r>
                  <w:r>
                    <w:rPr>
                      <w:rFonts w:asciiTheme="majorEastAsia" w:eastAsiaTheme="majorEastAsia" w:hAnsiTheme="majorEastAsia" w:hint="eastAsia"/>
                      <w:bCs/>
                      <w:sz w:val="18"/>
                      <w:szCs w:val="18"/>
                    </w:rPr>
                    <w:t>-【24：00】</w:t>
                  </w:r>
                </w:p>
              </w:tc>
              <w:tc>
                <w:tcPr>
                  <w:tcW w:w="1701" w:type="dxa"/>
                  <w:tcBorders>
                    <w:top w:val="single" w:sz="12" w:space="0" w:color="auto"/>
                    <w:bottom w:val="single" w:sz="12" w:space="0" w:color="auto"/>
                  </w:tcBorders>
                  <w:vAlign w:val="center"/>
                </w:tcPr>
                <w:p w:rsidR="0089074A" w:rsidRDefault="00185114">
                  <w:pPr>
                    <w:spacing w:line="360" w:lineRule="auto"/>
                    <w:rPr>
                      <w:rFonts w:asciiTheme="minorEastAsia" w:eastAsiaTheme="minorEastAsia" w:hAnsiTheme="minorEastAsia" w:cs="Times New Roman"/>
                      <w:bCs/>
                      <w:kern w:val="0"/>
                      <w:sz w:val="18"/>
                      <w:szCs w:val="18"/>
                    </w:rPr>
                  </w:pPr>
                  <w:r>
                    <w:rPr>
                      <w:rFonts w:asciiTheme="majorEastAsia" w:eastAsiaTheme="majorEastAsia" w:hAnsiTheme="majorEastAsia" w:hint="eastAsia"/>
                      <w:bCs/>
                      <w:sz w:val="18"/>
                      <w:szCs w:val="18"/>
                    </w:rPr>
                    <w:t>赎回申请日后的下一个开放日</w:t>
                  </w:r>
                </w:p>
              </w:tc>
              <w:tc>
                <w:tcPr>
                  <w:tcW w:w="1984" w:type="dxa"/>
                  <w:tcBorders>
                    <w:top w:val="single" w:sz="12" w:space="0" w:color="auto"/>
                    <w:bottom w:val="single" w:sz="12" w:space="0" w:color="auto"/>
                  </w:tcBorders>
                  <w:vAlign w:val="center"/>
                </w:tcPr>
                <w:p w:rsidR="0089074A" w:rsidRDefault="00185114">
                  <w:pPr>
                    <w:spacing w:line="360" w:lineRule="auto"/>
                    <w:rPr>
                      <w:rFonts w:asciiTheme="minorEastAsia" w:eastAsiaTheme="minorEastAsia" w:hAnsiTheme="minorEastAsia" w:cs="Times New Roman"/>
                      <w:bCs/>
                      <w:kern w:val="0"/>
                      <w:sz w:val="18"/>
                      <w:szCs w:val="18"/>
                    </w:rPr>
                  </w:pPr>
                  <w:r>
                    <w:rPr>
                      <w:rFonts w:asciiTheme="minorEastAsia" w:eastAsiaTheme="minorEastAsia" w:hAnsiTheme="minorEastAsia" w:cs="Times New Roman"/>
                      <w:bCs/>
                      <w:kern w:val="0"/>
                      <w:sz w:val="18"/>
                      <w:szCs w:val="18"/>
                    </w:rPr>
                    <w:t>赎回日</w:t>
                  </w:r>
                  <w:r>
                    <w:rPr>
                      <w:rFonts w:asciiTheme="majorEastAsia" w:eastAsiaTheme="majorEastAsia" w:hAnsiTheme="majorEastAsia" w:hint="eastAsia"/>
                      <w:bCs/>
                      <w:sz w:val="18"/>
                      <w:szCs w:val="18"/>
                    </w:rPr>
                    <w:t>后的下一个开放日</w:t>
                  </w:r>
                </w:p>
              </w:tc>
              <w:tc>
                <w:tcPr>
                  <w:tcW w:w="2043" w:type="dxa"/>
                  <w:vMerge/>
                  <w:vAlign w:val="center"/>
                </w:tcPr>
                <w:p w:rsidR="0089074A" w:rsidRDefault="0089074A">
                  <w:pPr>
                    <w:spacing w:line="360" w:lineRule="auto"/>
                    <w:rPr>
                      <w:rFonts w:asciiTheme="minorEastAsia" w:eastAsiaTheme="minorEastAsia" w:hAnsiTheme="minorEastAsia" w:cs="Times New Roman"/>
                      <w:bCs/>
                      <w:kern w:val="0"/>
                      <w:sz w:val="18"/>
                      <w:szCs w:val="18"/>
                    </w:rPr>
                  </w:pPr>
                </w:p>
              </w:tc>
            </w:tr>
            <w:tr w:rsidR="0089074A">
              <w:trPr>
                <w:trHeight w:val="899"/>
                <w:jc w:val="center"/>
              </w:trPr>
              <w:tc>
                <w:tcPr>
                  <w:tcW w:w="1833" w:type="dxa"/>
                  <w:tcBorders>
                    <w:top w:val="single" w:sz="12" w:space="0" w:color="auto"/>
                  </w:tcBorders>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非</w:t>
                  </w:r>
                  <w:r>
                    <w:rPr>
                      <w:rFonts w:asciiTheme="majorEastAsia" w:eastAsiaTheme="majorEastAsia" w:hAnsiTheme="majorEastAsia"/>
                      <w:bCs/>
                      <w:sz w:val="18"/>
                      <w:szCs w:val="18"/>
                    </w:rPr>
                    <w:t>开放</w:t>
                  </w:r>
                  <w:r>
                    <w:rPr>
                      <w:rFonts w:asciiTheme="majorEastAsia" w:eastAsiaTheme="majorEastAsia" w:hAnsiTheme="majorEastAsia" w:hint="eastAsia"/>
                      <w:bCs/>
                      <w:sz w:val="18"/>
                      <w:szCs w:val="18"/>
                    </w:rPr>
                    <w:t>日</w:t>
                  </w:r>
                </w:p>
              </w:tc>
              <w:tc>
                <w:tcPr>
                  <w:tcW w:w="1701" w:type="dxa"/>
                  <w:tcBorders>
                    <w:top w:val="single" w:sz="12" w:space="0" w:color="auto"/>
                  </w:tcBorders>
                  <w:vAlign w:val="center"/>
                </w:tcPr>
                <w:p w:rsidR="0089074A" w:rsidRDefault="00185114">
                  <w:pPr>
                    <w:spacing w:line="360" w:lineRule="auto"/>
                    <w:rPr>
                      <w:rFonts w:asciiTheme="minorEastAsia" w:eastAsiaTheme="minorEastAsia" w:hAnsiTheme="minorEastAsia" w:cs="Times New Roman"/>
                      <w:bCs/>
                      <w:kern w:val="0"/>
                      <w:sz w:val="18"/>
                      <w:szCs w:val="18"/>
                    </w:rPr>
                  </w:pPr>
                  <w:r>
                    <w:rPr>
                      <w:rFonts w:asciiTheme="majorEastAsia" w:eastAsiaTheme="majorEastAsia" w:hAnsiTheme="majorEastAsia" w:hint="eastAsia"/>
                      <w:bCs/>
                      <w:sz w:val="18"/>
                      <w:szCs w:val="18"/>
                    </w:rPr>
                    <w:t>赎回申请日后的下一个开放日</w:t>
                  </w:r>
                </w:p>
              </w:tc>
              <w:tc>
                <w:tcPr>
                  <w:tcW w:w="1984" w:type="dxa"/>
                  <w:tcBorders>
                    <w:top w:val="single" w:sz="12" w:space="0" w:color="auto"/>
                  </w:tcBorders>
                </w:tcPr>
                <w:p w:rsidR="0089074A" w:rsidRDefault="00185114">
                  <w:pPr>
                    <w:spacing w:line="360" w:lineRule="auto"/>
                    <w:rPr>
                      <w:rFonts w:asciiTheme="minorEastAsia" w:eastAsiaTheme="minorEastAsia" w:hAnsiTheme="minorEastAsia" w:cs="Times New Roman"/>
                      <w:bCs/>
                      <w:kern w:val="0"/>
                      <w:sz w:val="18"/>
                      <w:szCs w:val="18"/>
                    </w:rPr>
                  </w:pPr>
                  <w:r>
                    <w:rPr>
                      <w:rFonts w:asciiTheme="minorEastAsia" w:eastAsiaTheme="minorEastAsia" w:hAnsiTheme="minorEastAsia" w:cs="Times New Roman"/>
                      <w:bCs/>
                      <w:kern w:val="0"/>
                      <w:sz w:val="18"/>
                      <w:szCs w:val="18"/>
                    </w:rPr>
                    <w:t>赎回日</w:t>
                  </w:r>
                  <w:r>
                    <w:rPr>
                      <w:rFonts w:asciiTheme="majorEastAsia" w:eastAsiaTheme="majorEastAsia" w:hAnsiTheme="majorEastAsia" w:hint="eastAsia"/>
                      <w:bCs/>
                      <w:sz w:val="18"/>
                      <w:szCs w:val="18"/>
                    </w:rPr>
                    <w:t>后的下一个开放日</w:t>
                  </w:r>
                </w:p>
              </w:tc>
              <w:tc>
                <w:tcPr>
                  <w:tcW w:w="2043" w:type="dxa"/>
                  <w:vMerge/>
                </w:tcPr>
                <w:p w:rsidR="0089074A" w:rsidRDefault="0089074A">
                  <w:pPr>
                    <w:spacing w:line="360" w:lineRule="auto"/>
                    <w:rPr>
                      <w:rFonts w:asciiTheme="minorEastAsia" w:eastAsiaTheme="minorEastAsia" w:hAnsiTheme="minorEastAsia" w:cs="Times New Roman"/>
                      <w:bCs/>
                      <w:kern w:val="0"/>
                      <w:sz w:val="18"/>
                      <w:szCs w:val="18"/>
                    </w:rPr>
                  </w:pPr>
                </w:p>
              </w:tc>
            </w:tr>
          </w:tbl>
          <w:p w:rsidR="0089074A" w:rsidRDefault="00185114">
            <w:pPr>
              <w:spacing w:line="360" w:lineRule="auto"/>
              <w:rPr>
                <w:rFonts w:ascii="黑体" w:eastAsia="黑体" w:hAnsi="黑体" w:cs="黑体"/>
                <w:color w:val="000000" w:themeColor="text1"/>
                <w:sz w:val="18"/>
                <w:szCs w:val="18"/>
              </w:rPr>
            </w:pPr>
            <w:r>
              <w:rPr>
                <w:rFonts w:ascii="黑体" w:eastAsia="黑体" w:hAnsi="黑体" w:cs="黑体" w:hint="eastAsia"/>
                <w:color w:val="000000" w:themeColor="text1"/>
                <w:sz w:val="18"/>
                <w:szCs w:val="18"/>
              </w:rPr>
              <w:t>注：</w:t>
            </w:r>
            <w:r>
              <w:rPr>
                <w:rFonts w:ascii="黑体" w:eastAsia="黑体" w:hAnsi="黑体" w:cs="黑体" w:hint="eastAsia"/>
                <w:color w:val="000000" w:themeColor="text1"/>
                <w:sz w:val="18"/>
              </w:rPr>
              <w:t>赎回</w:t>
            </w:r>
            <w:r>
              <w:rPr>
                <w:rFonts w:ascii="黑体" w:eastAsia="黑体" w:hAnsi="黑体" w:cs="黑体" w:hint="eastAsia"/>
                <w:color w:val="000000" w:themeColor="text1"/>
                <w:sz w:val="18"/>
                <w:szCs w:val="18"/>
              </w:rPr>
              <w:t>款项于</w:t>
            </w:r>
            <w:r>
              <w:rPr>
                <w:rFonts w:ascii="黑体" w:eastAsia="黑体" w:hAnsi="黑体" w:cs="黑体" w:hint="eastAsia"/>
                <w:kern w:val="0"/>
                <w:sz w:val="18"/>
                <w:szCs w:val="18"/>
              </w:rPr>
              <w:t>赎回</w:t>
            </w:r>
            <w:r>
              <w:rPr>
                <w:rFonts w:ascii="黑体" w:eastAsia="黑体" w:hAnsi="黑体" w:cs="黑体" w:hint="eastAsia"/>
                <w:kern w:val="0"/>
                <w:sz w:val="18"/>
              </w:rPr>
              <w:t>日后【1】个开放日</w:t>
            </w:r>
            <w:r>
              <w:rPr>
                <w:rFonts w:ascii="黑体" w:eastAsia="黑体" w:hAnsi="黑体" w:cs="黑体" w:hint="eastAsia"/>
                <w:kern w:val="0"/>
                <w:sz w:val="18"/>
                <w:szCs w:val="18"/>
              </w:rPr>
              <w:t>内支付给</w:t>
            </w:r>
            <w:r>
              <w:rPr>
                <w:rFonts w:ascii="黑体" w:eastAsia="黑体" w:hAnsi="黑体" w:cs="黑体" w:hint="eastAsia"/>
                <w:kern w:val="0"/>
                <w:sz w:val="18"/>
              </w:rPr>
              <w:t>投资者</w:t>
            </w:r>
            <w:r>
              <w:rPr>
                <w:rFonts w:ascii="黑体" w:eastAsia="黑体" w:hAnsi="黑体" w:cs="黑体" w:hint="eastAsia"/>
                <w:kern w:val="0"/>
                <w:sz w:val="18"/>
                <w:szCs w:val="18"/>
              </w:rPr>
              <w:t>。</w:t>
            </w:r>
          </w:p>
          <w:p w:rsidR="0089074A" w:rsidRDefault="00185114">
            <w:pPr>
              <w:spacing w:line="360" w:lineRule="auto"/>
              <w:rPr>
                <w:rFonts w:asciiTheme="minorEastAsia" w:eastAsiaTheme="minorEastAsia" w:hAnsiTheme="minorEastAsia"/>
                <w:sz w:val="18"/>
                <w:szCs w:val="18"/>
              </w:rPr>
            </w:pPr>
            <w:r>
              <w:rPr>
                <w:rFonts w:asciiTheme="majorEastAsia" w:eastAsiaTheme="majorEastAsia" w:hAnsiTheme="majorEastAsia"/>
                <w:bCs/>
                <w:color w:val="000000" w:themeColor="text1"/>
                <w:sz w:val="18"/>
                <w:szCs w:val="18"/>
              </w:rPr>
              <w:t>4.申购/</w:t>
            </w:r>
            <w:r>
              <w:rPr>
                <w:rFonts w:asciiTheme="majorEastAsia" w:eastAsiaTheme="majorEastAsia" w:hAnsiTheme="majorEastAsia" w:hint="eastAsia"/>
                <w:bCs/>
                <w:color w:val="000000" w:themeColor="text1"/>
                <w:sz w:val="18"/>
                <w:szCs w:val="18"/>
              </w:rPr>
              <w:t>赎回申请时间如遇非工作日，则产品管理人做相应调整。</w:t>
            </w:r>
          </w:p>
          <w:p w:rsidR="0089074A" w:rsidRDefault="00185114">
            <w:pPr>
              <w:spacing w:line="360" w:lineRule="auto"/>
              <w:rPr>
                <w:rFonts w:ascii="黑体" w:eastAsia="黑体" w:hAnsi="黑体"/>
                <w:bCs/>
                <w:color w:val="000000" w:themeColor="text1"/>
                <w:sz w:val="18"/>
                <w:szCs w:val="18"/>
              </w:rPr>
            </w:pPr>
            <w:r>
              <w:rPr>
                <w:rFonts w:ascii="黑体" w:eastAsia="黑体" w:hAnsi="黑体" w:hint="eastAsia"/>
                <w:bCs/>
                <w:color w:val="000000" w:themeColor="text1"/>
                <w:sz w:val="18"/>
                <w:szCs w:val="18"/>
              </w:rPr>
              <w:t>注：关于代理销售机构的实际工作服务时段的提示</w:t>
            </w:r>
          </w:p>
          <w:p w:rsidR="0089074A" w:rsidRDefault="00185114">
            <w:pPr>
              <w:spacing w:line="360" w:lineRule="auto"/>
              <w:rPr>
                <w:rFonts w:ascii="黑体" w:eastAsia="黑体" w:hAnsi="黑体"/>
                <w:bCs/>
                <w:sz w:val="18"/>
                <w:szCs w:val="18"/>
              </w:rPr>
            </w:pPr>
            <w:r>
              <w:rPr>
                <w:rFonts w:ascii="黑体" w:eastAsia="黑体" w:hAnsi="黑体" w:hint="eastAsia"/>
                <w:bCs/>
                <w:sz w:val="18"/>
                <w:szCs w:val="18"/>
              </w:rPr>
              <w:t>①为本产品办理相关交易的实际工作服务时段，因代理销售机构的不同可能存在差异（可能晚于销售文件约定的起始时点开始或早于销售文件约定的终止时点结束），投资者应当</w:t>
            </w:r>
            <w:r>
              <w:rPr>
                <w:rFonts w:ascii="黑体" w:eastAsia="黑体" w:hAnsi="黑体"/>
                <w:bCs/>
                <w:sz w:val="18"/>
                <w:szCs w:val="18"/>
              </w:rPr>
              <w:t>以</w:t>
            </w:r>
            <w:r>
              <w:rPr>
                <w:rFonts w:ascii="黑体" w:eastAsia="黑体" w:hAnsi="黑体" w:hint="eastAsia"/>
                <w:bCs/>
                <w:sz w:val="18"/>
                <w:szCs w:val="18"/>
              </w:rPr>
              <w:t>代理销售机构的展示</w:t>
            </w:r>
            <w:r>
              <w:rPr>
                <w:rFonts w:ascii="黑体" w:eastAsia="黑体" w:hAnsi="黑体"/>
                <w:bCs/>
                <w:sz w:val="18"/>
                <w:szCs w:val="18"/>
              </w:rPr>
              <w:t>为准</w:t>
            </w:r>
            <w:r>
              <w:rPr>
                <w:rFonts w:ascii="黑体" w:eastAsia="黑体" w:hAnsi="黑体" w:hint="eastAsia"/>
                <w:bCs/>
                <w:sz w:val="18"/>
                <w:szCs w:val="18"/>
              </w:rPr>
              <w:t>。</w:t>
            </w:r>
          </w:p>
          <w:p w:rsidR="0089074A" w:rsidRDefault="00185114">
            <w:pPr>
              <w:spacing w:line="360" w:lineRule="auto"/>
              <w:rPr>
                <w:rFonts w:ascii="黑体" w:eastAsia="黑体" w:hAnsi="黑体"/>
                <w:sz w:val="18"/>
                <w:szCs w:val="18"/>
              </w:rPr>
            </w:pPr>
            <w:r>
              <w:rPr>
                <w:rFonts w:ascii="黑体" w:eastAsia="黑体" w:hAnsi="黑体" w:hint="eastAsia"/>
                <w:bCs/>
                <w:sz w:val="18"/>
                <w:szCs w:val="18"/>
              </w:rPr>
              <w:t>②代理销售机构的实际工作服务时段，最早不得早于销售文件约定</w:t>
            </w:r>
            <w:r>
              <w:rPr>
                <w:rFonts w:ascii="黑体" w:eastAsia="黑体" w:hAnsi="黑体"/>
                <w:bCs/>
                <w:sz w:val="18"/>
                <w:szCs w:val="18"/>
              </w:rPr>
              <w:t>的</w:t>
            </w:r>
            <w:r>
              <w:rPr>
                <w:rFonts w:ascii="黑体" w:eastAsia="黑体" w:hAnsi="黑体" w:hint="eastAsia"/>
                <w:bCs/>
                <w:sz w:val="18"/>
                <w:szCs w:val="18"/>
              </w:rPr>
              <w:t>起始时点、最晚不得晚于销售文件</w:t>
            </w:r>
            <w:r>
              <w:rPr>
                <w:rFonts w:ascii="黑体" w:eastAsia="黑体" w:hAnsi="黑体"/>
                <w:bCs/>
                <w:sz w:val="18"/>
                <w:szCs w:val="18"/>
              </w:rPr>
              <w:t>约定的</w:t>
            </w:r>
            <w:r>
              <w:rPr>
                <w:rFonts w:ascii="黑体" w:eastAsia="黑体" w:hAnsi="黑体" w:hint="eastAsia"/>
                <w:bCs/>
                <w:sz w:val="18"/>
                <w:szCs w:val="18"/>
              </w:rPr>
              <w:t>终止时点</w:t>
            </w:r>
            <w:r>
              <w:rPr>
                <w:rFonts w:ascii="黑体" w:eastAsia="黑体" w:hAnsi="黑体"/>
                <w:bCs/>
                <w:sz w:val="18"/>
                <w:szCs w:val="18"/>
              </w:rPr>
              <w:t>。</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sz w:val="18"/>
                <w:szCs w:val="18"/>
              </w:rPr>
            </w:pPr>
            <w:r>
              <w:rPr>
                <w:rFonts w:hAnsi="宋体" w:hint="eastAsia"/>
                <w:sz w:val="18"/>
                <w:szCs w:val="18"/>
              </w:rPr>
              <w:lastRenderedPageBreak/>
              <w:t>★</w:t>
            </w:r>
            <w:r>
              <w:rPr>
                <w:rFonts w:ascii="宋体" w:hAnsi="宋体" w:hint="eastAsia"/>
                <w:b/>
                <w:bCs/>
                <w:kern w:val="0"/>
                <w:sz w:val="18"/>
                <w:szCs w:val="18"/>
              </w:rPr>
              <w:t>销售起点金额</w:t>
            </w:r>
            <w:r>
              <w:rPr>
                <w:rFonts w:asciiTheme="majorEastAsia" w:eastAsiaTheme="majorEastAsia" w:hAnsiTheme="majorEastAsia" w:hint="eastAsia"/>
                <w:b/>
                <w:bCs/>
                <w:sz w:val="18"/>
                <w:szCs w:val="18"/>
              </w:rPr>
              <w:t>及</w:t>
            </w:r>
            <w:r>
              <w:rPr>
                <w:rFonts w:asciiTheme="majorEastAsia" w:eastAsiaTheme="majorEastAsia" w:hAnsiTheme="majorEastAsia"/>
                <w:b/>
                <w:bCs/>
                <w:sz w:val="18"/>
                <w:szCs w:val="18"/>
              </w:rPr>
              <w:t>递增金额</w:t>
            </w:r>
          </w:p>
        </w:tc>
        <w:tc>
          <w:tcPr>
            <w:tcW w:w="7704" w:type="dxa"/>
            <w:shd w:val="solid" w:color="FFFFFF" w:fill="FFFFFF"/>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sz w:val="18"/>
                <w:szCs w:val="18"/>
              </w:rPr>
              <w:t>每笔</w:t>
            </w:r>
            <w:r>
              <w:rPr>
                <w:rFonts w:asciiTheme="majorEastAsia" w:eastAsiaTheme="majorEastAsia" w:hAnsiTheme="majorEastAsia" w:hint="eastAsia"/>
                <w:bCs/>
                <w:sz w:val="18"/>
                <w:szCs w:val="18"/>
              </w:rPr>
              <w:t>购买起点金额为【1.00</w:t>
            </w:r>
            <w:r>
              <w:rPr>
                <w:rFonts w:asciiTheme="majorEastAsia" w:eastAsiaTheme="majorEastAsia" w:hAnsiTheme="majorEastAsia"/>
                <w:bCs/>
                <w:sz w:val="18"/>
                <w:szCs w:val="18"/>
              </w:rPr>
              <w:t>】元；超出起点金额的部分以【0.01】元的整数</w:t>
            </w:r>
            <w:r>
              <w:rPr>
                <w:rFonts w:asciiTheme="majorEastAsia" w:eastAsiaTheme="majorEastAsia" w:hAnsiTheme="majorEastAsia" w:hint="eastAsia"/>
                <w:bCs/>
                <w:sz w:val="18"/>
                <w:szCs w:val="18"/>
              </w:rPr>
              <w:t>倍递增。</w:t>
            </w:r>
            <w:r>
              <w:rPr>
                <w:rFonts w:hAnsi="宋体" w:hint="eastAsia"/>
                <w:bCs/>
                <w:sz w:val="18"/>
                <w:szCs w:val="18"/>
              </w:rPr>
              <w:t>（适用【</w:t>
            </w:r>
            <w:r>
              <w:rPr>
                <w:rFonts w:hAnsi="宋体" w:hint="eastAsia"/>
                <w:bCs/>
                <w:sz w:val="18"/>
                <w:szCs w:val="18"/>
              </w:rPr>
              <w:t>A</w:t>
            </w:r>
            <w:r>
              <w:rPr>
                <w:rFonts w:hAnsi="宋体" w:hint="eastAsia"/>
                <w:bCs/>
                <w:sz w:val="18"/>
                <w:szCs w:val="18"/>
              </w:rPr>
              <w:t>】类</w:t>
            </w:r>
            <w:r>
              <w:rPr>
                <w:rFonts w:hAnsi="宋体"/>
                <w:bCs/>
                <w:sz w:val="18"/>
                <w:szCs w:val="18"/>
              </w:rPr>
              <w:t>份额</w:t>
            </w:r>
            <w:r>
              <w:rPr>
                <w:rFonts w:asciiTheme="majorEastAsia" w:eastAsiaTheme="majorEastAsia" w:hAnsiTheme="majorEastAsia" w:hint="eastAsia"/>
                <w:bCs/>
                <w:color w:val="000000" w:themeColor="text1"/>
                <w:sz w:val="18"/>
                <w:szCs w:val="18"/>
              </w:rPr>
              <w:t>）</w:t>
            </w:r>
          </w:p>
          <w:p w:rsidR="0089074A" w:rsidRDefault="00185114">
            <w:pPr>
              <w:spacing w:line="360" w:lineRule="auto"/>
              <w:jc w:val="left"/>
              <w:rPr>
                <w:rFonts w:ascii="黑体" w:eastAsia="黑体" w:hAnsi="黑体"/>
                <w:bCs/>
                <w:color w:val="000000" w:themeColor="text1"/>
                <w:sz w:val="18"/>
                <w:szCs w:val="18"/>
              </w:rPr>
            </w:pPr>
            <w:r>
              <w:rPr>
                <w:rFonts w:ascii="黑体" w:eastAsia="黑体" w:hAnsi="黑体" w:hint="eastAsia"/>
                <w:bCs/>
                <w:color w:val="000000" w:themeColor="text1"/>
                <w:sz w:val="18"/>
                <w:szCs w:val="18"/>
              </w:rPr>
              <w:t>注</w:t>
            </w:r>
            <w:r>
              <w:rPr>
                <w:rFonts w:ascii="黑体" w:eastAsia="黑体" w:hAnsi="黑体"/>
                <w:bCs/>
                <w:color w:val="000000" w:themeColor="text1"/>
                <w:sz w:val="18"/>
                <w:szCs w:val="18"/>
              </w:rPr>
              <w:t>：</w:t>
            </w:r>
            <w:r>
              <w:rPr>
                <w:rFonts w:ascii="黑体" w:eastAsia="黑体" w:hAnsi="黑体" w:hint="eastAsia"/>
                <w:bCs/>
                <w:color w:val="000000" w:themeColor="text1"/>
                <w:sz w:val="18"/>
                <w:szCs w:val="18"/>
              </w:rPr>
              <w:t>关于代理销售机构的实际销售</w:t>
            </w:r>
            <w:r>
              <w:rPr>
                <w:rFonts w:ascii="黑体" w:eastAsia="黑体" w:hAnsi="黑体"/>
                <w:bCs/>
                <w:color w:val="000000" w:themeColor="text1"/>
                <w:sz w:val="18"/>
                <w:szCs w:val="18"/>
              </w:rPr>
              <w:t>起点金额</w:t>
            </w:r>
            <w:r>
              <w:rPr>
                <w:rFonts w:ascii="黑体" w:eastAsia="黑体" w:hAnsi="黑体" w:hint="eastAsia"/>
                <w:bCs/>
                <w:color w:val="000000" w:themeColor="text1"/>
                <w:sz w:val="18"/>
                <w:szCs w:val="18"/>
              </w:rPr>
              <w:t>的提示</w:t>
            </w:r>
          </w:p>
          <w:p w:rsidR="0089074A" w:rsidRDefault="00185114">
            <w:pPr>
              <w:spacing w:line="360" w:lineRule="auto"/>
              <w:jc w:val="left"/>
              <w:rPr>
                <w:rFonts w:ascii="黑体" w:eastAsia="黑体" w:hAnsi="黑体"/>
                <w:bCs/>
                <w:color w:val="000000" w:themeColor="text1"/>
                <w:sz w:val="18"/>
                <w:szCs w:val="18"/>
              </w:rPr>
            </w:pPr>
            <w:r>
              <w:rPr>
                <w:rFonts w:ascii="黑体" w:eastAsia="黑体" w:hAnsi="黑体" w:hint="eastAsia"/>
                <w:bCs/>
                <w:color w:val="000000" w:themeColor="text1"/>
                <w:sz w:val="18"/>
                <w:szCs w:val="18"/>
              </w:rPr>
              <w:t>①本产品在代理销售机构的实际销售起点金额，因代理销售机构的不同可能存在差异（可能高于销售文件约定的销售起点金额），应当</w:t>
            </w:r>
            <w:r>
              <w:rPr>
                <w:rFonts w:ascii="黑体" w:eastAsia="黑体" w:hAnsi="黑体"/>
                <w:bCs/>
                <w:color w:val="000000" w:themeColor="text1"/>
                <w:sz w:val="18"/>
                <w:szCs w:val="18"/>
              </w:rPr>
              <w:t>以</w:t>
            </w:r>
            <w:r>
              <w:rPr>
                <w:rFonts w:ascii="黑体" w:eastAsia="黑体" w:hAnsi="黑体" w:hint="eastAsia"/>
                <w:bCs/>
                <w:color w:val="000000" w:themeColor="text1"/>
                <w:sz w:val="18"/>
                <w:szCs w:val="18"/>
              </w:rPr>
              <w:t>代理销售机构展示</w:t>
            </w:r>
            <w:r>
              <w:rPr>
                <w:rFonts w:ascii="黑体" w:eastAsia="黑体" w:hAnsi="黑体"/>
                <w:bCs/>
                <w:color w:val="000000" w:themeColor="text1"/>
                <w:sz w:val="18"/>
                <w:szCs w:val="18"/>
              </w:rPr>
              <w:t>为准</w:t>
            </w:r>
            <w:r>
              <w:rPr>
                <w:rFonts w:ascii="黑体" w:eastAsia="黑体" w:hAnsi="黑体" w:hint="eastAsia"/>
                <w:bCs/>
                <w:color w:val="000000" w:themeColor="text1"/>
                <w:sz w:val="18"/>
                <w:szCs w:val="18"/>
              </w:rPr>
              <w:t>。</w:t>
            </w:r>
          </w:p>
          <w:p w:rsidR="0089074A" w:rsidRDefault="00185114">
            <w:pPr>
              <w:spacing w:line="360" w:lineRule="auto"/>
              <w:jc w:val="left"/>
              <w:rPr>
                <w:rFonts w:ascii="黑体" w:eastAsia="黑体" w:hAnsi="黑体"/>
                <w:bCs/>
                <w:color w:val="000000" w:themeColor="text1"/>
                <w:sz w:val="18"/>
                <w:szCs w:val="18"/>
              </w:rPr>
            </w:pPr>
            <w:r>
              <w:rPr>
                <w:rFonts w:ascii="黑体" w:eastAsia="黑体" w:hAnsi="黑体" w:hint="eastAsia"/>
                <w:bCs/>
                <w:color w:val="000000" w:themeColor="text1"/>
                <w:sz w:val="18"/>
                <w:szCs w:val="18"/>
              </w:rPr>
              <w:t>②代理销售机构的实际销售起点金额，</w:t>
            </w:r>
            <w:r>
              <w:rPr>
                <w:rFonts w:ascii="黑体" w:eastAsia="黑体" w:hAnsi="黑体"/>
                <w:bCs/>
                <w:color w:val="000000" w:themeColor="text1"/>
                <w:sz w:val="18"/>
                <w:szCs w:val="18"/>
              </w:rPr>
              <w:t>不得低于</w:t>
            </w:r>
            <w:r>
              <w:rPr>
                <w:rFonts w:ascii="黑体" w:eastAsia="黑体" w:hAnsi="黑体" w:hint="eastAsia"/>
                <w:bCs/>
                <w:color w:val="000000" w:themeColor="text1"/>
                <w:sz w:val="18"/>
                <w:szCs w:val="18"/>
              </w:rPr>
              <w:t>销售</w:t>
            </w:r>
            <w:r>
              <w:rPr>
                <w:rFonts w:ascii="黑体" w:eastAsia="黑体" w:hAnsi="黑体"/>
                <w:bCs/>
                <w:color w:val="000000" w:themeColor="text1"/>
                <w:sz w:val="18"/>
                <w:szCs w:val="18"/>
              </w:rPr>
              <w:t>文件约定的</w:t>
            </w:r>
            <w:r>
              <w:rPr>
                <w:rFonts w:ascii="黑体" w:eastAsia="黑体" w:hAnsi="黑体" w:hint="eastAsia"/>
                <w:bCs/>
                <w:color w:val="000000" w:themeColor="text1"/>
                <w:sz w:val="18"/>
                <w:szCs w:val="18"/>
              </w:rPr>
              <w:t>销售</w:t>
            </w:r>
            <w:r>
              <w:rPr>
                <w:rFonts w:ascii="黑体" w:eastAsia="黑体" w:hAnsi="黑体"/>
                <w:bCs/>
                <w:color w:val="000000" w:themeColor="text1"/>
                <w:sz w:val="18"/>
                <w:szCs w:val="18"/>
              </w:rPr>
              <w:t>起点金额</w:t>
            </w:r>
            <w:r>
              <w:rPr>
                <w:rFonts w:ascii="黑体" w:eastAsia="黑体" w:hAnsi="黑体" w:hint="eastAsia"/>
                <w:bCs/>
                <w:color w:val="000000" w:themeColor="text1"/>
                <w:sz w:val="18"/>
                <w:szCs w:val="18"/>
              </w:rPr>
              <w:t>。</w:t>
            </w:r>
          </w:p>
        </w:tc>
      </w:tr>
      <w:tr w:rsidR="0089074A">
        <w:trPr>
          <w:trHeight w:val="275"/>
          <w:jc w:val="center"/>
        </w:trPr>
        <w:tc>
          <w:tcPr>
            <w:tcW w:w="1945" w:type="dxa"/>
            <w:shd w:val="solid" w:color="FFFFFF" w:fill="FFFFFF"/>
            <w:vAlign w:val="center"/>
          </w:tcPr>
          <w:p w:rsidR="0089074A" w:rsidRDefault="00185114">
            <w:pPr>
              <w:autoSpaceDE w:val="0"/>
              <w:autoSpaceDN w:val="0"/>
              <w:adjustRightInd w:val="0"/>
              <w:spacing w:line="360" w:lineRule="auto"/>
              <w:jc w:val="left"/>
              <w:rPr>
                <w:rFonts w:hAnsi="宋体"/>
                <w:b/>
                <w:sz w:val="18"/>
                <w:szCs w:val="18"/>
              </w:rPr>
            </w:pPr>
            <w:r>
              <w:rPr>
                <w:rFonts w:hAnsi="宋体" w:hint="eastAsia"/>
                <w:b/>
                <w:sz w:val="18"/>
                <w:szCs w:val="18"/>
              </w:rPr>
              <w:t>★认购、申购与赎回的数量限制</w:t>
            </w:r>
          </w:p>
        </w:tc>
        <w:tc>
          <w:tcPr>
            <w:tcW w:w="7704" w:type="dxa"/>
            <w:shd w:val="solid" w:color="FFFFFF" w:fill="FFFFFF"/>
            <w:vAlign w:val="center"/>
          </w:tcPr>
          <w:p w:rsidR="0089074A" w:rsidRDefault="00185114">
            <w:pPr>
              <w:pStyle w:val="Default"/>
              <w:spacing w:line="360" w:lineRule="auto"/>
              <w:rPr>
                <w:rFonts w:asciiTheme="minorEastAsia" w:eastAsiaTheme="minorEastAsia" w:hAnsiTheme="minorEastAsia"/>
                <w:color w:val="auto"/>
                <w:sz w:val="18"/>
                <w:szCs w:val="18"/>
              </w:rPr>
            </w:pPr>
            <w:r>
              <w:rPr>
                <w:rFonts w:hAnsi="宋体" w:hint="eastAsia"/>
                <w:bCs/>
                <w:sz w:val="18"/>
                <w:szCs w:val="18"/>
              </w:rPr>
              <w:t>（适用【</w:t>
            </w:r>
            <w:r>
              <w:rPr>
                <w:rFonts w:hAnsi="宋体"/>
                <w:bCs/>
                <w:sz w:val="18"/>
                <w:szCs w:val="18"/>
              </w:rPr>
              <w:t>A</w:t>
            </w:r>
            <w:r>
              <w:rPr>
                <w:rFonts w:hAnsi="宋体" w:hint="eastAsia"/>
                <w:bCs/>
                <w:sz w:val="18"/>
                <w:szCs w:val="18"/>
              </w:rPr>
              <w:t>】类</w:t>
            </w:r>
            <w:r>
              <w:rPr>
                <w:rFonts w:hAnsi="宋体"/>
                <w:bCs/>
                <w:sz w:val="18"/>
                <w:szCs w:val="18"/>
              </w:rPr>
              <w:t>份额</w:t>
            </w:r>
            <w:r>
              <w:rPr>
                <w:rFonts w:hAnsi="宋体" w:hint="eastAsia"/>
                <w:bCs/>
                <w:sz w:val="18"/>
                <w:szCs w:val="18"/>
              </w:rPr>
              <w:t>）</w:t>
            </w:r>
          </w:p>
          <w:p w:rsidR="0089074A" w:rsidRDefault="00185114">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1.认购的数量限制</w:t>
            </w:r>
          </w:p>
          <w:p w:rsidR="0089074A" w:rsidRDefault="00185114">
            <w:pPr>
              <w:pStyle w:val="Default"/>
              <w:spacing w:line="360" w:lineRule="auto"/>
              <w:rPr>
                <w:rFonts w:hAnsi="宋体"/>
                <w:bCs/>
                <w:sz w:val="18"/>
                <w:szCs w:val="18"/>
              </w:rPr>
            </w:pPr>
            <w:r>
              <w:rPr>
                <w:rFonts w:asciiTheme="minorEastAsia" w:eastAsiaTheme="minorEastAsia" w:hAnsiTheme="minorEastAsia" w:hint="eastAsia"/>
                <w:color w:val="auto"/>
                <w:sz w:val="18"/>
                <w:szCs w:val="18"/>
              </w:rPr>
              <w:lastRenderedPageBreak/>
              <w:t>单一投资者认购上限为【</w:t>
            </w:r>
            <w:r w:rsidR="003F52BA" w:rsidRPr="003F52BA">
              <w:rPr>
                <w:rFonts w:asciiTheme="minorEastAsia" w:eastAsiaTheme="minorEastAsia" w:hAnsiTheme="minorEastAsia"/>
                <w:color w:val="auto"/>
                <w:sz w:val="18"/>
                <w:szCs w:val="18"/>
              </w:rPr>
              <w:t>50,000,000.00</w:t>
            </w:r>
            <w:r>
              <w:rPr>
                <w:rFonts w:asciiTheme="minorEastAsia" w:eastAsiaTheme="minorEastAsia" w:hAnsiTheme="minorEastAsia" w:hint="eastAsia"/>
                <w:color w:val="auto"/>
                <w:sz w:val="18"/>
                <w:szCs w:val="18"/>
              </w:rPr>
              <w:t>】元。如需突破上限，请与产品管理人或销售机构客户经理联系。</w:t>
            </w:r>
          </w:p>
          <w:p w:rsidR="0089074A" w:rsidRDefault="00185114">
            <w:pPr>
              <w:pStyle w:val="Default"/>
              <w:spacing w:line="360" w:lineRule="auto"/>
              <w:rPr>
                <w:rFonts w:asciiTheme="minorEastAsia" w:eastAsiaTheme="minorEastAsia" w:hAnsiTheme="minorEastAsia"/>
                <w:color w:val="auto"/>
                <w:sz w:val="18"/>
                <w:szCs w:val="18"/>
              </w:rPr>
            </w:pPr>
            <w:r>
              <w:rPr>
                <w:rFonts w:hAnsi="宋体" w:hint="eastAsia"/>
                <w:bCs/>
                <w:sz w:val="18"/>
                <w:szCs w:val="18"/>
              </w:rPr>
              <w:t>2.</w:t>
            </w:r>
            <w:r>
              <w:rPr>
                <w:rFonts w:asciiTheme="minorEastAsia" w:eastAsiaTheme="minorEastAsia" w:hAnsiTheme="minorEastAsia" w:hint="eastAsia"/>
                <w:color w:val="auto"/>
                <w:sz w:val="18"/>
                <w:szCs w:val="18"/>
              </w:rPr>
              <w:t>申购的数量限制</w:t>
            </w:r>
          </w:p>
          <w:p w:rsidR="0089074A" w:rsidRDefault="00185114">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（1）单一投资者申购上限为【</w:t>
            </w:r>
            <w:r w:rsidR="003F52BA" w:rsidRPr="003F52BA">
              <w:rPr>
                <w:rFonts w:asciiTheme="minorEastAsia" w:eastAsiaTheme="minorEastAsia" w:hAnsiTheme="minorEastAsia"/>
                <w:color w:val="auto"/>
                <w:sz w:val="18"/>
                <w:szCs w:val="18"/>
              </w:rPr>
              <w:t>50,000,000.00</w:t>
            </w:r>
            <w:r>
              <w:rPr>
                <w:rFonts w:asciiTheme="minorEastAsia" w:eastAsiaTheme="minorEastAsia" w:hAnsiTheme="minorEastAsia" w:hint="eastAsia"/>
                <w:color w:val="auto"/>
                <w:sz w:val="18"/>
                <w:szCs w:val="18"/>
              </w:rPr>
              <w:t>】元。</w:t>
            </w:r>
          </w:p>
          <w:p w:rsidR="0089074A" w:rsidRDefault="00185114">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（2）产品</w:t>
            </w:r>
            <w:r>
              <w:rPr>
                <w:rFonts w:asciiTheme="minorEastAsia" w:eastAsiaTheme="minorEastAsia" w:hAnsiTheme="minorEastAsia"/>
                <w:color w:val="auto"/>
                <w:sz w:val="18"/>
                <w:szCs w:val="18"/>
              </w:rPr>
              <w:t>存续期间，</w:t>
            </w:r>
            <w:r>
              <w:rPr>
                <w:rFonts w:asciiTheme="minorEastAsia" w:eastAsiaTheme="minorEastAsia" w:hAnsiTheme="minorEastAsia" w:hint="eastAsia"/>
                <w:color w:val="auto"/>
                <w:sz w:val="18"/>
                <w:szCs w:val="18"/>
              </w:rPr>
              <w:t>单一投资者</w:t>
            </w:r>
            <w:r>
              <w:rPr>
                <w:rFonts w:asciiTheme="minorEastAsia" w:eastAsiaTheme="minorEastAsia" w:hAnsiTheme="minorEastAsia"/>
                <w:color w:val="auto"/>
                <w:sz w:val="18"/>
                <w:szCs w:val="18"/>
              </w:rPr>
              <w:t>最高</w:t>
            </w:r>
            <w:r>
              <w:rPr>
                <w:rFonts w:asciiTheme="minorEastAsia" w:eastAsiaTheme="minorEastAsia" w:hAnsiTheme="minorEastAsia" w:hint="eastAsia"/>
                <w:color w:val="auto"/>
                <w:sz w:val="18"/>
                <w:szCs w:val="18"/>
              </w:rPr>
              <w:t>持有</w:t>
            </w:r>
            <w:r>
              <w:rPr>
                <w:rFonts w:asciiTheme="minorEastAsia" w:eastAsiaTheme="minorEastAsia" w:hAnsiTheme="minorEastAsia"/>
                <w:color w:val="auto"/>
                <w:sz w:val="18"/>
                <w:szCs w:val="18"/>
              </w:rPr>
              <w:t>份额上限为</w:t>
            </w:r>
            <w:r>
              <w:rPr>
                <w:rFonts w:asciiTheme="minorEastAsia" w:eastAsiaTheme="minorEastAsia" w:hAnsiTheme="minorEastAsia" w:hint="eastAsia"/>
                <w:color w:val="auto"/>
                <w:sz w:val="18"/>
                <w:szCs w:val="18"/>
              </w:rPr>
              <w:t>【</w:t>
            </w:r>
            <w:r w:rsidR="003F52BA" w:rsidRPr="003F52BA">
              <w:rPr>
                <w:rFonts w:asciiTheme="minorEastAsia" w:eastAsiaTheme="minorEastAsia" w:hAnsiTheme="minorEastAsia"/>
                <w:color w:val="auto"/>
                <w:sz w:val="18"/>
                <w:szCs w:val="18"/>
              </w:rPr>
              <w:t>50,000,000.00</w:t>
            </w:r>
            <w:r>
              <w:rPr>
                <w:rFonts w:asciiTheme="minorEastAsia" w:eastAsiaTheme="minorEastAsia" w:hAnsiTheme="minorEastAsia" w:hint="eastAsia"/>
                <w:color w:val="auto"/>
                <w:sz w:val="18"/>
                <w:szCs w:val="18"/>
              </w:rPr>
              <w:t>】份，符合产品管理人流动性管理的稳定资金除外。</w:t>
            </w:r>
          </w:p>
          <w:p w:rsidR="0089074A" w:rsidRDefault="00185114">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 xml:space="preserve">如需突破上限，请与产品管理人或销售机构客户经理联系。 </w:t>
            </w:r>
          </w:p>
          <w:p w:rsidR="0089074A" w:rsidRDefault="00185114">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3.赎回的数量限制</w:t>
            </w:r>
          </w:p>
          <w:p w:rsidR="0089074A" w:rsidRDefault="00185114">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（1）单一投资者赎回上限为【</w:t>
            </w:r>
            <w:r>
              <w:rPr>
                <w:rFonts w:asciiTheme="minorEastAsia" w:eastAsiaTheme="minorEastAsia" w:hAnsiTheme="minorEastAsia"/>
                <w:color w:val="auto"/>
                <w:sz w:val="18"/>
                <w:szCs w:val="18"/>
              </w:rPr>
              <w:t>/</w:t>
            </w:r>
            <w:r>
              <w:rPr>
                <w:rFonts w:asciiTheme="minorEastAsia" w:eastAsiaTheme="minorEastAsia" w:hAnsiTheme="minorEastAsia" w:hint="eastAsia"/>
                <w:color w:val="auto"/>
                <w:sz w:val="18"/>
                <w:szCs w:val="18"/>
              </w:rPr>
              <w:t>】。</w:t>
            </w:r>
          </w:p>
          <w:p w:rsidR="0089074A" w:rsidRDefault="00185114">
            <w:pPr>
              <w:pStyle w:val="Default"/>
              <w:spacing w:line="360" w:lineRule="auto"/>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（2）投资者可全部或部分赎回其理财份额，但是部分赎回后单一投资者持有产品份额不得低于【0</w:t>
            </w:r>
            <w:r>
              <w:rPr>
                <w:rFonts w:asciiTheme="minorEastAsia" w:eastAsiaTheme="minorEastAsia" w:hAnsiTheme="minorEastAsia"/>
                <w:color w:val="auto"/>
                <w:sz w:val="18"/>
                <w:szCs w:val="18"/>
              </w:rPr>
              <w:t>.01</w:t>
            </w:r>
            <w:r>
              <w:rPr>
                <w:rFonts w:asciiTheme="minorEastAsia" w:eastAsiaTheme="minorEastAsia" w:hAnsiTheme="minorEastAsia" w:hint="eastAsia"/>
                <w:color w:val="auto"/>
                <w:sz w:val="18"/>
                <w:szCs w:val="18"/>
              </w:rPr>
              <w:t>】份。受理财利益分配去尾规则的影响，投资者持有产品份额较低时可能无法取得利益。巨额赎回情景发生时，投资者的可赎回份额需要根据巨额赎回规则确定。</w:t>
            </w:r>
          </w:p>
          <w:p w:rsidR="0089074A" w:rsidRDefault="00185114">
            <w:pPr>
              <w:pStyle w:val="Default"/>
              <w:spacing w:line="360" w:lineRule="auto"/>
              <w:rPr>
                <w:rFonts w:ascii="黑体" w:eastAsia="黑体" w:hAnsi="黑体"/>
                <w:bCs/>
                <w:color w:val="000000" w:themeColor="text1"/>
                <w:sz w:val="18"/>
                <w:szCs w:val="18"/>
              </w:rPr>
            </w:pPr>
            <w:r>
              <w:rPr>
                <w:rFonts w:ascii="黑体" w:eastAsia="黑体" w:hAnsi="黑体" w:hint="eastAsia"/>
                <w:bCs/>
                <w:color w:val="000000" w:themeColor="text1"/>
                <w:sz w:val="18"/>
                <w:szCs w:val="18"/>
              </w:rPr>
              <w:t>注</w:t>
            </w:r>
            <w:r>
              <w:rPr>
                <w:rFonts w:ascii="黑体" w:eastAsia="黑体" w:hAnsi="黑体"/>
                <w:bCs/>
                <w:color w:val="000000" w:themeColor="text1"/>
                <w:sz w:val="18"/>
                <w:szCs w:val="18"/>
              </w:rPr>
              <w:t>：</w:t>
            </w:r>
            <w:r>
              <w:rPr>
                <w:rFonts w:ascii="黑体" w:eastAsia="黑体" w:hAnsi="黑体" w:hint="eastAsia"/>
                <w:bCs/>
                <w:color w:val="000000" w:themeColor="text1"/>
                <w:sz w:val="18"/>
                <w:szCs w:val="18"/>
              </w:rPr>
              <w:t>本产品单一投资者持有份额不得超过产品总份额</w:t>
            </w:r>
            <w:r>
              <w:rPr>
                <w:rFonts w:ascii="黑体" w:eastAsia="黑体" w:hAnsi="黑体"/>
                <w:bCs/>
                <w:color w:val="000000" w:themeColor="text1"/>
                <w:sz w:val="18"/>
                <w:szCs w:val="18"/>
              </w:rPr>
              <w:t>50%。</w:t>
            </w:r>
          </w:p>
          <w:p w:rsidR="0089074A" w:rsidRDefault="00185114">
            <w:pPr>
              <w:pStyle w:val="Default"/>
              <w:spacing w:line="360" w:lineRule="auto"/>
              <w:rPr>
                <w:rFonts w:ascii="黑体" w:eastAsia="黑体" w:hAnsi="黑体"/>
                <w:bCs/>
                <w:color w:val="000000" w:themeColor="text1"/>
                <w:sz w:val="18"/>
                <w:szCs w:val="18"/>
              </w:rPr>
            </w:pPr>
            <w:r>
              <w:rPr>
                <w:rFonts w:ascii="黑体" w:eastAsia="黑体" w:hAnsi="黑体" w:hint="eastAsia"/>
                <w:bCs/>
                <w:color w:val="000000" w:themeColor="text1"/>
                <w:sz w:val="18"/>
                <w:szCs w:val="18"/>
              </w:rPr>
              <w:t>（</w:t>
            </w:r>
            <w:r>
              <w:rPr>
                <w:rFonts w:ascii="黑体" w:eastAsia="黑体" w:hAnsi="黑体"/>
                <w:bCs/>
                <w:color w:val="000000" w:themeColor="text1"/>
                <w:sz w:val="18"/>
                <w:szCs w:val="18"/>
              </w:rPr>
              <w:t>1）投资者认购或申购确认后可能导致其持有份额超过产品总份额50%的，管理人有权拒绝或暂停认购、申购。</w:t>
            </w:r>
          </w:p>
          <w:p w:rsidR="0089074A" w:rsidRDefault="00185114">
            <w:pPr>
              <w:pStyle w:val="Default"/>
              <w:spacing w:line="360" w:lineRule="auto"/>
              <w:rPr>
                <w:rFonts w:ascii="黑体" w:eastAsia="黑体" w:hAnsi="黑体"/>
                <w:bCs/>
                <w:color w:val="000000" w:themeColor="text1"/>
                <w:sz w:val="18"/>
                <w:szCs w:val="18"/>
              </w:rPr>
            </w:pPr>
            <w:r>
              <w:rPr>
                <w:rFonts w:ascii="黑体" w:eastAsia="黑体" w:hAnsi="黑体" w:hint="eastAsia"/>
                <w:bCs/>
                <w:color w:val="000000" w:themeColor="text1"/>
                <w:sz w:val="18"/>
                <w:szCs w:val="18"/>
              </w:rPr>
              <w:t>（</w:t>
            </w:r>
            <w:r>
              <w:rPr>
                <w:rFonts w:ascii="黑体" w:eastAsia="黑体" w:hAnsi="黑体"/>
                <w:bCs/>
                <w:color w:val="000000" w:themeColor="text1"/>
                <w:sz w:val="18"/>
                <w:szCs w:val="18"/>
              </w:rPr>
              <w:t>2）非因管理人主观因素导致突破该比例限制的，在单一投资者持有比例降至50%以下之前，管理人不再接受该投资者对本产品的认购、申购申请。</w:t>
            </w:r>
          </w:p>
        </w:tc>
      </w:tr>
      <w:tr w:rsidR="0089074A">
        <w:trPr>
          <w:trHeight w:val="275"/>
          <w:jc w:val="center"/>
        </w:trPr>
        <w:tc>
          <w:tcPr>
            <w:tcW w:w="1945" w:type="dxa"/>
            <w:shd w:val="solid" w:color="FFFFFF" w:fill="FFFFFF"/>
          </w:tcPr>
          <w:p w:rsidR="0089074A" w:rsidRDefault="00185114">
            <w:pPr>
              <w:spacing w:line="360" w:lineRule="auto"/>
              <w:jc w:val="left"/>
              <w:rPr>
                <w:rFonts w:hAnsi="宋体"/>
                <w:b/>
                <w:sz w:val="18"/>
                <w:szCs w:val="18"/>
              </w:rPr>
            </w:pPr>
            <w:r>
              <w:rPr>
                <w:rFonts w:hint="eastAsia"/>
                <w:sz w:val="18"/>
                <w:szCs w:val="18"/>
              </w:rPr>
              <w:lastRenderedPageBreak/>
              <w:t>★</w:t>
            </w:r>
            <w:r>
              <w:rPr>
                <w:rFonts w:hAnsi="宋体" w:hint="eastAsia"/>
                <w:b/>
                <w:sz w:val="18"/>
                <w:szCs w:val="18"/>
              </w:rPr>
              <w:t>巨额赎回的认定</w:t>
            </w:r>
          </w:p>
        </w:tc>
        <w:tc>
          <w:tcPr>
            <w:tcW w:w="7704" w:type="dxa"/>
            <w:shd w:val="solid" w:color="FFFFFF" w:fill="FFFFFF"/>
          </w:tcPr>
          <w:p w:rsidR="0089074A" w:rsidRDefault="00185114">
            <w:pPr>
              <w:pStyle w:val="Default"/>
              <w:spacing w:line="360" w:lineRule="auto"/>
              <w:rPr>
                <w:rFonts w:asciiTheme="majorEastAsia" w:eastAsiaTheme="majorEastAsia" w:hAnsiTheme="majorEastAsia"/>
                <w:bCs/>
                <w:sz w:val="18"/>
                <w:szCs w:val="18"/>
              </w:rPr>
            </w:pPr>
            <w:r>
              <w:rPr>
                <w:rFonts w:asciiTheme="minorEastAsia" w:hAnsiTheme="minorEastAsia" w:hint="eastAsia"/>
                <w:bCs/>
                <w:sz w:val="18"/>
                <w:szCs w:val="18"/>
              </w:rPr>
              <w:t>单个开放日中</w:t>
            </w:r>
            <w:r>
              <w:rPr>
                <w:rFonts w:asciiTheme="majorEastAsia" w:eastAsiaTheme="majorEastAsia" w:hAnsiTheme="majorEastAsia" w:hint="eastAsia"/>
                <w:bCs/>
                <w:sz w:val="18"/>
                <w:szCs w:val="18"/>
              </w:rPr>
              <w:t>，本产品的累计产品份额净赎回申请（赎回申请总份额扣除申购总份额后的余额</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下同）之和达到上一日产品总份额的1</w:t>
            </w:r>
            <w:r>
              <w:rPr>
                <w:rFonts w:asciiTheme="majorEastAsia" w:eastAsiaTheme="majorEastAsia" w:hAnsiTheme="majorEastAsia"/>
                <w:bCs/>
                <w:sz w:val="18"/>
                <w:szCs w:val="18"/>
              </w:rPr>
              <w:t>0%</w:t>
            </w:r>
            <w:r>
              <w:rPr>
                <w:rFonts w:asciiTheme="majorEastAsia" w:eastAsiaTheme="majorEastAsia" w:hAnsiTheme="majorEastAsia" w:hint="eastAsia"/>
                <w:bCs/>
                <w:sz w:val="18"/>
                <w:szCs w:val="18"/>
              </w:rPr>
              <w:t>，为巨额赎回。</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asciiTheme="majorEastAsia" w:eastAsiaTheme="majorEastAsia" w:hAnsiTheme="majorEastAsia" w:hint="eastAsia"/>
                <w:b/>
                <w:bCs/>
                <w:sz w:val="18"/>
                <w:szCs w:val="18"/>
              </w:rPr>
              <w:t>理财产品</w:t>
            </w:r>
            <w:r>
              <w:rPr>
                <w:rFonts w:asciiTheme="majorEastAsia" w:eastAsiaTheme="majorEastAsia" w:hAnsiTheme="majorEastAsia"/>
                <w:b/>
                <w:bCs/>
                <w:sz w:val="18"/>
                <w:szCs w:val="18"/>
              </w:rPr>
              <w:t>份额发售面值</w:t>
            </w:r>
          </w:p>
        </w:tc>
        <w:tc>
          <w:tcPr>
            <w:tcW w:w="7704" w:type="dxa"/>
            <w:shd w:val="solid" w:color="FFFFFF" w:fill="FFFFFF"/>
            <w:vAlign w:val="center"/>
          </w:tcPr>
          <w:p w:rsidR="0089074A" w:rsidRDefault="00185114">
            <w:pPr>
              <w:spacing w:line="360" w:lineRule="auto"/>
              <w:rPr>
                <w:rFonts w:asciiTheme="majorEastAsia" w:eastAsiaTheme="majorEastAsia" w:hAnsiTheme="majorEastAsia"/>
                <w:sz w:val="18"/>
                <w:szCs w:val="18"/>
              </w:rPr>
            </w:pPr>
            <w:r>
              <w:rPr>
                <w:rFonts w:asciiTheme="majorEastAsia" w:eastAsiaTheme="majorEastAsia" w:hAnsiTheme="majorEastAsia" w:cs="仿宋_GB2312"/>
                <w:kern w:val="0"/>
                <w:sz w:val="18"/>
                <w:szCs w:val="18"/>
              </w:rPr>
              <w:t>1.00</w:t>
            </w:r>
            <w:r>
              <w:rPr>
                <w:rFonts w:asciiTheme="majorEastAsia" w:eastAsiaTheme="majorEastAsia" w:hAnsiTheme="majorEastAsia" w:cs="仿宋_GB2312" w:hint="eastAsia"/>
                <w:kern w:val="0"/>
                <w:sz w:val="18"/>
                <w:szCs w:val="18"/>
              </w:rPr>
              <w:t>元</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sz w:val="18"/>
                <w:szCs w:val="18"/>
              </w:rPr>
            </w:pPr>
            <w:r>
              <w:rPr>
                <w:rFonts w:ascii="宋体" w:hAnsi="宋体" w:hint="eastAsia"/>
                <w:b/>
                <w:bCs/>
                <w:kern w:val="0"/>
                <w:sz w:val="18"/>
                <w:szCs w:val="18"/>
              </w:rPr>
              <w:t>理财产品份额净值</w:t>
            </w:r>
          </w:p>
        </w:tc>
        <w:tc>
          <w:tcPr>
            <w:tcW w:w="7704" w:type="dxa"/>
            <w:shd w:val="solid" w:color="FFFFFF" w:fill="FFFFFF"/>
            <w:vAlign w:val="center"/>
          </w:tcPr>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1</w:t>
            </w:r>
            <w:r>
              <w:rPr>
                <w:rFonts w:asciiTheme="majorEastAsia" w:eastAsiaTheme="majorEastAsia" w:hAnsiTheme="majorEastAsia"/>
                <w:color w:val="000000" w:themeColor="text1"/>
                <w:sz w:val="18"/>
                <w:szCs w:val="18"/>
              </w:rPr>
              <w:t>.</w:t>
            </w:r>
            <w:r>
              <w:rPr>
                <w:rFonts w:asciiTheme="majorEastAsia" w:eastAsiaTheme="majorEastAsia" w:hAnsiTheme="majorEastAsia"/>
                <w:bCs/>
                <w:sz w:val="18"/>
                <w:szCs w:val="18"/>
              </w:rPr>
              <w:t>若产品投资资产运作出现损失的，产品份额净值下降，投资</w:t>
            </w:r>
            <w:r>
              <w:rPr>
                <w:rFonts w:asciiTheme="majorEastAsia" w:eastAsiaTheme="majorEastAsia" w:hAnsiTheme="majorEastAsia" w:hint="eastAsia"/>
                <w:bCs/>
                <w:sz w:val="18"/>
                <w:szCs w:val="18"/>
              </w:rPr>
              <w:t>者</w:t>
            </w:r>
            <w:r>
              <w:rPr>
                <w:rFonts w:asciiTheme="majorEastAsia" w:eastAsiaTheme="majorEastAsia" w:hAnsiTheme="majorEastAsia"/>
                <w:bCs/>
                <w:sz w:val="18"/>
                <w:szCs w:val="18"/>
              </w:rPr>
              <w:t>分配所得可能小于投资</w:t>
            </w:r>
            <w:r>
              <w:rPr>
                <w:rFonts w:asciiTheme="majorEastAsia" w:eastAsiaTheme="majorEastAsia" w:hAnsiTheme="majorEastAsia" w:hint="eastAsia"/>
                <w:bCs/>
                <w:sz w:val="18"/>
                <w:szCs w:val="18"/>
              </w:rPr>
              <w:t>者</w:t>
            </w:r>
            <w:r>
              <w:rPr>
                <w:rFonts w:asciiTheme="majorEastAsia" w:eastAsiaTheme="majorEastAsia" w:hAnsiTheme="majorEastAsia"/>
                <w:bCs/>
                <w:sz w:val="18"/>
                <w:szCs w:val="18"/>
              </w:rPr>
              <w:t>初始投资资金。投资</w:t>
            </w:r>
            <w:r>
              <w:rPr>
                <w:rFonts w:asciiTheme="majorEastAsia" w:eastAsiaTheme="majorEastAsia" w:hAnsiTheme="majorEastAsia" w:hint="eastAsia"/>
                <w:bCs/>
                <w:sz w:val="18"/>
                <w:szCs w:val="18"/>
              </w:rPr>
              <w:t>者</w:t>
            </w:r>
            <w:r>
              <w:rPr>
                <w:rFonts w:asciiTheme="majorEastAsia" w:eastAsiaTheme="majorEastAsia" w:hAnsiTheme="majorEastAsia"/>
                <w:bCs/>
                <w:sz w:val="18"/>
                <w:szCs w:val="18"/>
              </w:rPr>
              <w:t>分配所得以实际到账金额为准。</w:t>
            </w:r>
          </w:p>
          <w:p w:rsidR="0089074A" w:rsidRDefault="00185114">
            <w:pPr>
              <w:spacing w:line="360" w:lineRule="auto"/>
              <w:rPr>
                <w:rFonts w:asciiTheme="majorEastAsia" w:eastAsiaTheme="majorEastAsia" w:hAnsiTheme="majorEastAsia"/>
                <w:bCs/>
                <w:sz w:val="18"/>
                <w:szCs w:val="18"/>
              </w:rPr>
            </w:pPr>
            <w:r>
              <w:rPr>
                <w:rFonts w:asciiTheme="majorEastAsia" w:eastAsiaTheme="majorEastAsia" w:hAnsiTheme="majorEastAsia"/>
                <w:bCs/>
                <w:sz w:val="18"/>
                <w:szCs w:val="18"/>
              </w:rPr>
              <w:t>2．产品实际</w:t>
            </w:r>
            <w:r>
              <w:rPr>
                <w:rFonts w:asciiTheme="majorEastAsia" w:eastAsiaTheme="majorEastAsia" w:hAnsiTheme="majorEastAsia" w:hint="eastAsia"/>
                <w:bCs/>
                <w:sz w:val="18"/>
                <w:szCs w:val="18"/>
              </w:rPr>
              <w:t>终止</w:t>
            </w:r>
            <w:r>
              <w:rPr>
                <w:rFonts w:asciiTheme="majorEastAsia" w:eastAsiaTheme="majorEastAsia" w:hAnsiTheme="majorEastAsia"/>
                <w:bCs/>
                <w:sz w:val="18"/>
                <w:szCs w:val="18"/>
              </w:rPr>
              <w:t>日之前的估值日公布的产品份额净值已扣除</w:t>
            </w:r>
            <w:r>
              <w:rPr>
                <w:rFonts w:asciiTheme="majorEastAsia" w:eastAsiaTheme="majorEastAsia" w:hAnsiTheme="majorEastAsia" w:hint="eastAsia"/>
                <w:bCs/>
                <w:sz w:val="18"/>
                <w:szCs w:val="18"/>
              </w:rPr>
              <w:t>理财产品</w:t>
            </w:r>
            <w:r>
              <w:rPr>
                <w:rFonts w:asciiTheme="majorEastAsia" w:eastAsiaTheme="majorEastAsia" w:hAnsiTheme="majorEastAsia"/>
                <w:bCs/>
                <w:sz w:val="18"/>
                <w:szCs w:val="18"/>
              </w:rPr>
              <w:t>的费用和税收。</w:t>
            </w:r>
          </w:p>
          <w:p w:rsidR="0089074A" w:rsidRDefault="00185114">
            <w:pPr>
              <w:spacing w:line="360" w:lineRule="auto"/>
              <w:jc w:val="left"/>
              <w:rPr>
                <w:rFonts w:asciiTheme="minorEastAsia" w:hAnsiTheme="minorEastAsia" w:cs="Times New Roman"/>
                <w:sz w:val="18"/>
                <w:szCs w:val="18"/>
              </w:rPr>
            </w:pPr>
            <w:r>
              <w:rPr>
                <w:rFonts w:asciiTheme="majorEastAsia" w:eastAsiaTheme="majorEastAsia" w:hAnsiTheme="majorEastAsia"/>
                <w:bCs/>
                <w:sz w:val="18"/>
                <w:szCs w:val="18"/>
              </w:rPr>
              <w:t>3．产品管理人依约定公布产品份额净值</w:t>
            </w:r>
            <w:r>
              <w:rPr>
                <w:rFonts w:asciiTheme="majorEastAsia" w:eastAsiaTheme="majorEastAsia" w:hAnsiTheme="majorEastAsia" w:hint="eastAsia"/>
                <w:bCs/>
                <w:sz w:val="18"/>
                <w:szCs w:val="18"/>
              </w:rPr>
              <w:t>，产品管理人</w:t>
            </w:r>
            <w:r>
              <w:rPr>
                <w:rFonts w:asciiTheme="majorEastAsia" w:eastAsiaTheme="majorEastAsia" w:hAnsiTheme="majorEastAsia"/>
                <w:bCs/>
                <w:sz w:val="18"/>
                <w:szCs w:val="18"/>
              </w:rPr>
              <w:t>以</w:t>
            </w:r>
            <w:r>
              <w:rPr>
                <w:rFonts w:asciiTheme="majorEastAsia" w:eastAsiaTheme="majorEastAsia" w:hAnsiTheme="majorEastAsia" w:hint="eastAsia"/>
                <w:bCs/>
                <w:sz w:val="18"/>
                <w:szCs w:val="18"/>
              </w:rPr>
              <w:t>赎回日</w:t>
            </w:r>
            <w:r>
              <w:rPr>
                <w:rFonts w:asciiTheme="majorEastAsia" w:eastAsiaTheme="majorEastAsia" w:hAnsiTheme="majorEastAsia"/>
                <w:bCs/>
                <w:sz w:val="18"/>
                <w:szCs w:val="18"/>
              </w:rPr>
              <w:t>产品份额净值为基础进行利益分配。</w:t>
            </w:r>
          </w:p>
        </w:tc>
      </w:tr>
      <w:tr w:rsidR="0089074A">
        <w:trPr>
          <w:trHeight w:val="1078"/>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sz w:val="18"/>
                <w:szCs w:val="18"/>
              </w:rPr>
            </w:pPr>
            <w:r>
              <w:rPr>
                <w:rFonts w:hint="eastAsia"/>
                <w:sz w:val="18"/>
                <w:szCs w:val="18"/>
              </w:rPr>
              <w:t>★</w:t>
            </w:r>
            <w:r>
              <w:rPr>
                <w:rFonts w:asciiTheme="majorEastAsia" w:eastAsiaTheme="majorEastAsia" w:hAnsiTheme="majorEastAsia" w:hint="eastAsia"/>
                <w:b/>
                <w:bCs/>
                <w:sz w:val="18"/>
                <w:szCs w:val="18"/>
              </w:rPr>
              <w:t>业绩比较基准</w:t>
            </w:r>
          </w:p>
        </w:tc>
        <w:tc>
          <w:tcPr>
            <w:tcW w:w="7704" w:type="dxa"/>
            <w:shd w:val="solid" w:color="FFFFFF" w:fill="FFFFFF"/>
            <w:vAlign w:val="center"/>
          </w:tcPr>
          <w:p w:rsidR="0089074A" w:rsidRDefault="00185114">
            <w:pPr>
              <w:spacing w:line="360" w:lineRule="auto"/>
              <w:jc w:val="left"/>
              <w:rPr>
                <w:rFonts w:hAnsi="宋体"/>
                <w:bCs/>
                <w:sz w:val="18"/>
                <w:szCs w:val="18"/>
              </w:rPr>
            </w:pPr>
            <w:r>
              <w:rPr>
                <w:rFonts w:hAnsi="宋体" w:hint="eastAsia"/>
                <w:bCs/>
                <w:sz w:val="18"/>
                <w:szCs w:val="18"/>
              </w:rPr>
              <w:t>（适用【</w:t>
            </w:r>
            <w:r>
              <w:rPr>
                <w:rFonts w:hAnsi="宋体" w:hint="eastAsia"/>
                <w:bCs/>
                <w:sz w:val="18"/>
                <w:szCs w:val="18"/>
              </w:rPr>
              <w:t>A</w:t>
            </w:r>
            <w:r>
              <w:rPr>
                <w:rFonts w:hAnsi="宋体" w:hint="eastAsia"/>
                <w:bCs/>
                <w:sz w:val="18"/>
                <w:szCs w:val="18"/>
              </w:rPr>
              <w:t>】类</w:t>
            </w:r>
            <w:r>
              <w:rPr>
                <w:rFonts w:hAnsi="宋体"/>
                <w:bCs/>
                <w:sz w:val="18"/>
                <w:szCs w:val="18"/>
              </w:rPr>
              <w:t>份额</w:t>
            </w:r>
            <w:r>
              <w:rPr>
                <w:rFonts w:hAnsi="宋体" w:hint="eastAsia"/>
                <w:bCs/>
                <w:sz w:val="18"/>
                <w:szCs w:val="18"/>
              </w:rPr>
              <w:t>）</w:t>
            </w:r>
          </w:p>
          <w:p w:rsidR="0089074A" w:rsidRDefault="00185114">
            <w:pPr>
              <w:spacing w:line="360" w:lineRule="auto"/>
              <w:jc w:val="left"/>
              <w:rPr>
                <w:rFonts w:ascii="宋体" w:hAnsi="宋体"/>
                <w:b/>
                <w:bCs/>
                <w:sz w:val="18"/>
                <w:szCs w:val="18"/>
              </w:rPr>
            </w:pPr>
            <w:r>
              <w:rPr>
                <w:rFonts w:ascii="宋体" w:hAnsi="宋体" w:hint="eastAsia"/>
                <w:b/>
                <w:bCs/>
                <w:sz w:val="18"/>
                <w:szCs w:val="18"/>
              </w:rPr>
              <w:t>1.业绩比较基准的设置</w:t>
            </w:r>
          </w:p>
          <w:p w:rsidR="0089074A" w:rsidRDefault="00185114">
            <w:pPr>
              <w:autoSpaceDE w:val="0"/>
              <w:autoSpaceDN w:val="0"/>
              <w:adjustRightInd w:val="0"/>
              <w:spacing w:line="360" w:lineRule="auto"/>
              <w:jc w:val="left"/>
              <w:rPr>
                <w:rFonts w:asciiTheme="majorEastAsia" w:eastAsiaTheme="majorEastAsia" w:hAnsiTheme="majorEastAsia"/>
                <w:b/>
                <w:kern w:val="0"/>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
                <w:kern w:val="0"/>
                <w:sz w:val="18"/>
                <w:szCs w:val="18"/>
              </w:rPr>
              <w:t xml:space="preserve"> </w:t>
            </w:r>
            <w:r>
              <w:rPr>
                <w:rFonts w:asciiTheme="majorEastAsia" w:eastAsiaTheme="majorEastAsia" w:hAnsiTheme="majorEastAsia" w:hint="eastAsia"/>
                <w:b/>
                <w:kern w:val="0"/>
                <w:sz w:val="18"/>
                <w:szCs w:val="18"/>
              </w:rPr>
              <w:t>产品管理人设置业绩比较基准。</w:t>
            </w:r>
          </w:p>
          <w:p w:rsidR="0089074A" w:rsidRDefault="00185114">
            <w:pPr>
              <w:spacing w:line="360" w:lineRule="auto"/>
              <w:jc w:val="left"/>
              <w:rPr>
                <w:rFonts w:asciiTheme="majorEastAsia" w:hAnsiTheme="majorEastAsia"/>
                <w:bCs/>
                <w:sz w:val="18"/>
                <w:szCs w:val="18"/>
              </w:rPr>
            </w:pPr>
            <w:r>
              <w:rPr>
                <w:rFonts w:ascii="宋体" w:hAnsi="宋体" w:hint="eastAsia"/>
                <w:bCs/>
                <w:sz w:val="18"/>
                <w:szCs w:val="18"/>
              </w:rPr>
              <w:lastRenderedPageBreak/>
              <w:t>（1）业绩比较基准的说明：【</w:t>
            </w:r>
            <w:r w:rsidR="003F52BA" w:rsidRPr="003F52BA">
              <w:rPr>
                <w:rFonts w:asciiTheme="majorEastAsia" w:eastAsiaTheme="majorEastAsia" w:hAnsiTheme="majorEastAsia" w:cs="仿宋_GB2312" w:hint="eastAsia"/>
                <w:kern w:val="0"/>
                <w:sz w:val="18"/>
                <w:szCs w:val="18"/>
              </w:rPr>
              <w:t>基于当前对未来市场的判断，根据拟投资债权类资产的信用利差、久期敞口以及流动性溢价，预判组合的波动幅度</w:t>
            </w:r>
            <w:r>
              <w:rPr>
                <w:rFonts w:ascii="宋体" w:hAnsi="宋体"/>
                <w:bCs/>
                <w:sz w:val="18"/>
                <w:szCs w:val="18"/>
              </w:rPr>
              <w:t>】</w:t>
            </w:r>
            <w:r>
              <w:rPr>
                <w:rFonts w:ascii="宋体" w:hAnsi="宋体" w:hint="eastAsia"/>
                <w:bCs/>
                <w:sz w:val="18"/>
                <w:szCs w:val="18"/>
              </w:rPr>
              <w:t>。</w:t>
            </w:r>
          </w:p>
          <w:p w:rsidR="0089074A" w:rsidRDefault="00185114" w:rsidP="00840600">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（2）</w:t>
            </w:r>
            <w:r>
              <w:rPr>
                <w:rFonts w:asciiTheme="majorEastAsia" w:eastAsiaTheme="majorEastAsia" w:hAnsiTheme="majorEastAsia"/>
                <w:bCs/>
                <w:sz w:val="18"/>
                <w:szCs w:val="18"/>
              </w:rPr>
              <w:t>业绩比较基准的设定</w:t>
            </w:r>
            <w:r>
              <w:rPr>
                <w:rFonts w:asciiTheme="majorEastAsia" w:eastAsiaTheme="majorEastAsia" w:hAnsiTheme="majorEastAsia" w:hint="eastAsia"/>
                <w:bCs/>
                <w:sz w:val="18"/>
                <w:szCs w:val="18"/>
              </w:rPr>
              <w:t>：</w:t>
            </w:r>
            <w:r w:rsidR="003F52BA" w:rsidRPr="003F52BA">
              <w:rPr>
                <w:rFonts w:asciiTheme="majorEastAsia" w:eastAsiaTheme="majorEastAsia" w:hAnsiTheme="majorEastAsia" w:hint="eastAsia"/>
                <w:bCs/>
                <w:sz w:val="18"/>
                <w:szCs w:val="18"/>
              </w:rPr>
              <w:t>管理人对本产品设定业绩比较基准：【2.</w:t>
            </w:r>
            <w:r w:rsidR="00AD2FA1">
              <w:rPr>
                <w:rFonts w:asciiTheme="majorEastAsia" w:eastAsiaTheme="majorEastAsia" w:hAnsiTheme="majorEastAsia" w:hint="eastAsia"/>
                <w:bCs/>
                <w:sz w:val="18"/>
                <w:szCs w:val="18"/>
              </w:rPr>
              <w:t>0</w:t>
            </w:r>
            <w:r w:rsidR="003F52BA" w:rsidRPr="003F52BA">
              <w:rPr>
                <w:rFonts w:asciiTheme="majorEastAsia" w:eastAsiaTheme="majorEastAsia" w:hAnsiTheme="majorEastAsia" w:hint="eastAsia"/>
                <w:bCs/>
                <w:sz w:val="18"/>
                <w:szCs w:val="18"/>
              </w:rPr>
              <w:t>0%-2.90%】</w:t>
            </w:r>
            <w:r w:rsidR="00840600" w:rsidRPr="00840600">
              <w:rPr>
                <w:rFonts w:asciiTheme="majorEastAsia" w:hAnsiTheme="majorEastAsia" w:hint="eastAsia"/>
                <w:sz w:val="18"/>
              </w:rPr>
              <w:t>；</w:t>
            </w:r>
            <w:r>
              <w:rPr>
                <w:rFonts w:ascii="宋体" w:hAnsi="宋体" w:hint="eastAsia"/>
                <w:bCs/>
                <w:sz w:val="18"/>
                <w:szCs w:val="18"/>
              </w:rPr>
              <w:t>。</w:t>
            </w:r>
          </w:p>
          <w:p w:rsidR="0089074A" w:rsidRDefault="00185114">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kern w:val="0"/>
                <w:sz w:val="18"/>
                <w:szCs w:val="18"/>
              </w:rPr>
              <w:t>□</w:t>
            </w:r>
            <w:r>
              <w:rPr>
                <w:rFonts w:asciiTheme="majorEastAsia" w:eastAsiaTheme="majorEastAsia" w:hAnsiTheme="majorEastAsia"/>
                <w:b/>
                <w:kern w:val="0"/>
                <w:sz w:val="18"/>
                <w:szCs w:val="18"/>
              </w:rPr>
              <w:t xml:space="preserve"> </w:t>
            </w:r>
            <w:r>
              <w:rPr>
                <w:rFonts w:asciiTheme="majorEastAsia" w:eastAsiaTheme="majorEastAsia" w:hAnsiTheme="majorEastAsia" w:hint="eastAsia"/>
                <w:b/>
                <w:kern w:val="0"/>
                <w:sz w:val="18"/>
                <w:szCs w:val="18"/>
              </w:rPr>
              <w:t>产品管理人不设置业绩比较基准。</w:t>
            </w:r>
          </w:p>
          <w:p w:rsidR="0089074A" w:rsidRDefault="00185114">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2.业绩比较基准的提示：</w:t>
            </w:r>
          </w:p>
          <w:p w:rsidR="0089074A" w:rsidRDefault="00185114">
            <w:pPr>
              <w:spacing w:line="360" w:lineRule="auto"/>
              <w:jc w:val="left"/>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（1）</w:t>
            </w:r>
            <w:r>
              <w:rPr>
                <w:rFonts w:hint="eastAsia"/>
                <w:sz w:val="18"/>
                <w:szCs w:val="18"/>
              </w:rPr>
              <w:t>★</w:t>
            </w:r>
            <w:r>
              <w:rPr>
                <w:rFonts w:hint="eastAsia"/>
                <w:b/>
                <w:sz w:val="18"/>
              </w:rPr>
              <w:t>业绩比较基准</w:t>
            </w:r>
            <w:r>
              <w:rPr>
                <w:rFonts w:hint="eastAsia"/>
                <w:b/>
                <w:bCs/>
                <w:sz w:val="18"/>
                <w:szCs w:val="18"/>
              </w:rPr>
              <w:t>不是预期收益率，</w:t>
            </w:r>
            <w:r>
              <w:rPr>
                <w:rFonts w:hint="eastAsia"/>
                <w:b/>
                <w:sz w:val="18"/>
              </w:rPr>
              <w:t>不代表产品</w:t>
            </w:r>
            <w:r>
              <w:rPr>
                <w:rFonts w:hint="eastAsia"/>
                <w:b/>
                <w:bCs/>
                <w:sz w:val="18"/>
                <w:szCs w:val="18"/>
              </w:rPr>
              <w:t>的</w:t>
            </w:r>
            <w:r>
              <w:rPr>
                <w:rFonts w:hint="eastAsia"/>
                <w:b/>
                <w:sz w:val="18"/>
              </w:rPr>
              <w:t>未来表现</w:t>
            </w:r>
            <w:r>
              <w:rPr>
                <w:rFonts w:hint="eastAsia"/>
                <w:b/>
                <w:bCs/>
                <w:sz w:val="18"/>
                <w:szCs w:val="18"/>
              </w:rPr>
              <w:t>和</w:t>
            </w:r>
            <w:r>
              <w:rPr>
                <w:rFonts w:hint="eastAsia"/>
                <w:b/>
                <w:sz w:val="18"/>
              </w:rPr>
              <w:t>实际收益，不</w:t>
            </w:r>
            <w:r>
              <w:rPr>
                <w:rFonts w:hint="eastAsia"/>
                <w:b/>
                <w:bCs/>
                <w:sz w:val="18"/>
                <w:szCs w:val="18"/>
              </w:rPr>
              <w:t>构成对</w:t>
            </w:r>
            <w:r>
              <w:rPr>
                <w:rFonts w:hint="eastAsia"/>
                <w:b/>
                <w:sz w:val="18"/>
              </w:rPr>
              <w:t>产品收益的</w:t>
            </w:r>
            <w:r>
              <w:rPr>
                <w:rFonts w:hint="eastAsia"/>
                <w:b/>
                <w:bCs/>
                <w:sz w:val="18"/>
                <w:szCs w:val="18"/>
              </w:rPr>
              <w:t>承诺</w:t>
            </w:r>
            <w:r>
              <w:rPr>
                <w:rFonts w:hint="eastAsia"/>
                <w:b/>
                <w:sz w:val="18"/>
              </w:rPr>
              <w:t>，投资须谨慎。</w:t>
            </w:r>
          </w:p>
          <w:p w:rsidR="0089074A" w:rsidRDefault="00185114">
            <w:pPr>
              <w:spacing w:line="360" w:lineRule="auto"/>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asciiTheme="majorEastAsia" w:eastAsiaTheme="majorEastAsia" w:hAnsiTheme="majorEastAsia" w:hint="eastAsia"/>
                <w:bCs/>
                <w:sz w:val="18"/>
                <w:szCs w:val="18"/>
              </w:rPr>
              <w:t>。</w:t>
            </w:r>
          </w:p>
        </w:tc>
      </w:tr>
      <w:tr w:rsidR="0089074A">
        <w:trPr>
          <w:trHeight w:val="1078"/>
          <w:jc w:val="center"/>
        </w:trPr>
        <w:tc>
          <w:tcPr>
            <w:tcW w:w="1945" w:type="dxa"/>
            <w:shd w:val="solid" w:color="FFFFFF" w:fill="FFFFFF"/>
            <w:vAlign w:val="center"/>
          </w:tcPr>
          <w:p w:rsidR="0089074A" w:rsidRDefault="00185114">
            <w:pPr>
              <w:spacing w:line="360" w:lineRule="auto"/>
              <w:jc w:val="left"/>
              <w:rPr>
                <w:sz w:val="18"/>
                <w:szCs w:val="18"/>
              </w:rPr>
            </w:pPr>
            <w:r>
              <w:rPr>
                <w:rFonts w:hint="eastAsia"/>
                <w:sz w:val="18"/>
                <w:szCs w:val="18"/>
              </w:rPr>
              <w:lastRenderedPageBreak/>
              <w:t>★</w:t>
            </w:r>
            <w:r>
              <w:rPr>
                <w:rFonts w:hint="eastAsia"/>
                <w:b/>
                <w:sz w:val="18"/>
                <w:szCs w:val="18"/>
              </w:rPr>
              <w:t>业绩报酬计提基准</w:t>
            </w:r>
          </w:p>
        </w:tc>
        <w:tc>
          <w:tcPr>
            <w:tcW w:w="7704" w:type="dxa"/>
            <w:shd w:val="solid" w:color="FFFFFF" w:fill="FFFFFF"/>
            <w:vAlign w:val="center"/>
          </w:tcPr>
          <w:p w:rsidR="0089074A" w:rsidRDefault="00840600">
            <w:pPr>
              <w:spacing w:line="360" w:lineRule="auto"/>
              <w:jc w:val="left"/>
              <w:rPr>
                <w:rFonts w:ascii="宋体" w:hAnsi="宋体"/>
                <w:sz w:val="18"/>
                <w:szCs w:val="18"/>
              </w:rPr>
            </w:pPr>
            <w:r w:rsidRPr="00840600">
              <w:rPr>
                <w:rFonts w:ascii="宋体" w:hAnsi="宋体" w:hint="eastAsia"/>
                <w:bCs/>
                <w:sz w:val="18"/>
                <w:szCs w:val="18"/>
              </w:rPr>
              <w:t>本产品不设置业绩报酬计提基准。</w:t>
            </w:r>
          </w:p>
        </w:tc>
      </w:tr>
      <w:tr w:rsidR="0089074A">
        <w:trPr>
          <w:trHeight w:val="1078"/>
          <w:jc w:val="center"/>
        </w:trPr>
        <w:tc>
          <w:tcPr>
            <w:tcW w:w="1945" w:type="dxa"/>
            <w:shd w:val="solid" w:color="FFFFFF" w:fill="FFFFFF"/>
            <w:vAlign w:val="center"/>
          </w:tcPr>
          <w:p w:rsidR="0089074A" w:rsidRDefault="00185114">
            <w:pPr>
              <w:spacing w:line="360" w:lineRule="auto"/>
              <w:jc w:val="left"/>
              <w:rPr>
                <w:sz w:val="18"/>
                <w:szCs w:val="18"/>
              </w:rPr>
            </w:pPr>
            <w:r>
              <w:rPr>
                <w:rFonts w:hAnsi="宋体" w:hint="eastAsia"/>
                <w:b/>
                <w:sz w:val="18"/>
                <w:szCs w:val="18"/>
              </w:rPr>
              <w:t>★</w:t>
            </w:r>
            <w:r>
              <w:rPr>
                <w:rFonts w:hint="eastAsia"/>
                <w:b/>
                <w:sz w:val="18"/>
                <w:szCs w:val="18"/>
              </w:rPr>
              <w:t>理财产品利益分配</w:t>
            </w:r>
          </w:p>
        </w:tc>
        <w:tc>
          <w:tcPr>
            <w:tcW w:w="7704" w:type="dxa"/>
            <w:shd w:val="solid" w:color="FFFFFF" w:fill="FFFFFF"/>
            <w:vAlign w:val="center"/>
          </w:tcPr>
          <w:p w:rsidR="0089074A" w:rsidRDefault="00185114">
            <w:pPr>
              <w:spacing w:line="360" w:lineRule="auto"/>
              <w:jc w:val="left"/>
              <w:rPr>
                <w:rFonts w:hAnsi="宋体"/>
                <w:bCs/>
                <w:sz w:val="18"/>
                <w:szCs w:val="18"/>
              </w:rPr>
            </w:pPr>
            <w:r>
              <w:rPr>
                <w:rFonts w:hAnsi="宋体" w:hint="eastAsia"/>
                <w:bCs/>
                <w:sz w:val="18"/>
                <w:szCs w:val="18"/>
              </w:rPr>
              <w:t>1</w:t>
            </w:r>
            <w:r>
              <w:rPr>
                <w:rFonts w:hAnsi="宋体"/>
                <w:bCs/>
                <w:sz w:val="18"/>
                <w:szCs w:val="18"/>
              </w:rPr>
              <w:t>.</w:t>
            </w:r>
            <w:r>
              <w:rPr>
                <w:rFonts w:hAnsi="宋体" w:hint="eastAsia"/>
                <w:bCs/>
                <w:sz w:val="18"/>
                <w:szCs w:val="18"/>
              </w:rPr>
              <w:t>理财产品存续期间，产品管理人有权视理财产品收益情况进行主动分配，相应分配基准日、分配方案由管理人及时披露。</w:t>
            </w:r>
          </w:p>
          <w:p w:rsidR="0089074A" w:rsidRDefault="00185114">
            <w:pPr>
              <w:spacing w:line="360" w:lineRule="auto"/>
              <w:jc w:val="left"/>
              <w:rPr>
                <w:rFonts w:ascii="宋体" w:hAnsi="宋体"/>
                <w:bCs/>
                <w:sz w:val="18"/>
                <w:szCs w:val="18"/>
              </w:rPr>
            </w:pPr>
            <w:r>
              <w:rPr>
                <w:rFonts w:hAnsi="宋体" w:hint="eastAsia"/>
                <w:bCs/>
                <w:sz w:val="18"/>
                <w:szCs w:val="18"/>
              </w:rPr>
              <w:t>2</w:t>
            </w:r>
            <w:r>
              <w:rPr>
                <w:rFonts w:hAnsi="宋体"/>
                <w:bCs/>
                <w:sz w:val="18"/>
                <w:szCs w:val="18"/>
              </w:rPr>
              <w:t>.</w:t>
            </w:r>
            <w:r>
              <w:rPr>
                <w:rFonts w:hAnsi="宋体"/>
                <w:bCs/>
                <w:sz w:val="18"/>
                <w:szCs w:val="18"/>
              </w:rPr>
              <w:t>具体理财产品利益分配</w:t>
            </w:r>
            <w:r>
              <w:rPr>
                <w:rFonts w:hAnsi="宋体" w:hint="eastAsia"/>
                <w:bCs/>
                <w:sz w:val="18"/>
                <w:szCs w:val="18"/>
              </w:rPr>
              <w:t>详见《产品说明书》“第八条</w:t>
            </w:r>
            <w:r>
              <w:rPr>
                <w:rFonts w:hAnsi="宋体" w:hint="eastAsia"/>
                <w:bCs/>
                <w:sz w:val="18"/>
                <w:szCs w:val="18"/>
              </w:rPr>
              <w:t xml:space="preserve"> </w:t>
            </w:r>
            <w:r>
              <w:rPr>
                <w:rFonts w:hAnsi="宋体" w:hint="eastAsia"/>
                <w:bCs/>
                <w:sz w:val="18"/>
                <w:szCs w:val="18"/>
              </w:rPr>
              <w:t>理财产品的利益分配”。</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sz w:val="18"/>
                <w:szCs w:val="18"/>
              </w:rPr>
            </w:pPr>
            <w:r>
              <w:rPr>
                <w:rFonts w:hAnsi="宋体" w:hint="eastAsia"/>
                <w:sz w:val="18"/>
                <w:szCs w:val="18"/>
              </w:rPr>
              <w:t>★</w:t>
            </w:r>
            <w:r>
              <w:rPr>
                <w:rFonts w:asciiTheme="majorEastAsia" w:eastAsiaTheme="majorEastAsia" w:hAnsiTheme="majorEastAsia" w:hint="eastAsia"/>
                <w:b/>
                <w:bCs/>
                <w:sz w:val="18"/>
                <w:szCs w:val="18"/>
              </w:rPr>
              <w:t>理财产品费用</w:t>
            </w:r>
          </w:p>
        </w:tc>
        <w:tc>
          <w:tcPr>
            <w:tcW w:w="7704" w:type="dxa"/>
            <w:shd w:val="solid" w:color="FFFFFF" w:fill="FFFFFF"/>
            <w:vAlign w:val="center"/>
          </w:tcPr>
          <w:p w:rsidR="0089074A" w:rsidRDefault="00185114">
            <w:pPr>
              <w:spacing w:line="360" w:lineRule="auto"/>
              <w:jc w:val="left"/>
              <w:rPr>
                <w:rFonts w:ascii="宋体" w:hAnsi="宋体"/>
                <w:sz w:val="18"/>
                <w:szCs w:val="18"/>
              </w:rPr>
            </w:pPr>
            <w:r>
              <w:rPr>
                <w:rFonts w:hAnsi="宋体" w:hint="eastAsia"/>
                <w:bCs/>
                <w:sz w:val="18"/>
                <w:szCs w:val="18"/>
              </w:rPr>
              <w:t>（适用【</w:t>
            </w:r>
            <w:r>
              <w:rPr>
                <w:rFonts w:hAnsi="宋体" w:hint="eastAsia"/>
                <w:bCs/>
                <w:sz w:val="18"/>
                <w:szCs w:val="18"/>
              </w:rPr>
              <w:t>A</w:t>
            </w:r>
            <w:r>
              <w:rPr>
                <w:rFonts w:hAnsi="宋体" w:hint="eastAsia"/>
                <w:bCs/>
                <w:sz w:val="18"/>
                <w:szCs w:val="18"/>
              </w:rPr>
              <w:t>】类</w:t>
            </w:r>
            <w:r>
              <w:rPr>
                <w:rFonts w:hAnsi="宋体"/>
                <w:bCs/>
                <w:sz w:val="18"/>
                <w:szCs w:val="18"/>
              </w:rPr>
              <w:t>份额</w:t>
            </w:r>
            <w:r>
              <w:rPr>
                <w:rFonts w:hAnsi="宋体" w:hint="eastAsia"/>
                <w:bCs/>
                <w:sz w:val="18"/>
                <w:szCs w:val="18"/>
              </w:rPr>
              <w:t>）</w:t>
            </w:r>
          </w:p>
          <w:p w:rsidR="0089074A" w:rsidRDefault="00185114">
            <w:pPr>
              <w:spacing w:line="360" w:lineRule="auto"/>
              <w:jc w:val="left"/>
              <w:rPr>
                <w:rFonts w:ascii="宋体" w:hAnsi="宋体"/>
                <w:b/>
                <w:bCs/>
                <w:sz w:val="18"/>
                <w:szCs w:val="18"/>
              </w:rPr>
            </w:pPr>
            <w:r>
              <w:rPr>
                <w:rFonts w:ascii="宋体" w:hAnsi="宋体"/>
                <w:b/>
                <w:bCs/>
                <w:sz w:val="18"/>
                <w:szCs w:val="18"/>
              </w:rPr>
              <w:t>1.</w:t>
            </w:r>
            <w:r>
              <w:rPr>
                <w:rFonts w:ascii="宋体" w:hAnsi="宋体" w:hint="eastAsia"/>
                <w:b/>
                <w:bCs/>
                <w:sz w:val="18"/>
                <w:szCs w:val="18"/>
              </w:rPr>
              <w:t>理财产品的费率标准</w:t>
            </w:r>
          </w:p>
          <w:p w:rsidR="0089074A" w:rsidRDefault="00185114">
            <w:pPr>
              <w:spacing w:line="360" w:lineRule="auto"/>
              <w:jc w:val="left"/>
              <w:rPr>
                <w:rFonts w:ascii="宋体" w:hAnsi="宋体"/>
                <w:sz w:val="18"/>
                <w:szCs w:val="18"/>
              </w:rPr>
            </w:pPr>
            <w:r>
              <w:rPr>
                <w:rFonts w:ascii="宋体" w:hAnsi="宋体" w:hint="eastAsia"/>
                <w:b/>
                <w:bCs/>
                <w:sz w:val="18"/>
                <w:szCs w:val="18"/>
              </w:rPr>
              <w:t>（1）认购费：</w:t>
            </w:r>
            <w:r>
              <w:rPr>
                <w:rFonts w:ascii="宋体" w:hAnsi="宋体" w:hint="eastAsia"/>
                <w:sz w:val="18"/>
                <w:szCs w:val="18"/>
              </w:rPr>
              <w:t>【/】。</w:t>
            </w:r>
          </w:p>
          <w:p w:rsidR="0089074A" w:rsidRDefault="00185114">
            <w:pPr>
              <w:spacing w:line="360" w:lineRule="auto"/>
              <w:jc w:val="left"/>
              <w:rPr>
                <w:rFonts w:ascii="宋体" w:hAnsi="宋体"/>
                <w:sz w:val="18"/>
                <w:szCs w:val="18"/>
              </w:rPr>
            </w:pPr>
            <w:r>
              <w:rPr>
                <w:rFonts w:ascii="宋体" w:hAnsi="宋体" w:hint="eastAsia"/>
                <w:b/>
                <w:bCs/>
                <w:sz w:val="18"/>
                <w:szCs w:val="18"/>
              </w:rPr>
              <w:t>（2）</w:t>
            </w:r>
            <w:r>
              <w:rPr>
                <w:rFonts w:ascii="宋体" w:hAnsi="宋体"/>
                <w:b/>
                <w:bCs/>
                <w:sz w:val="18"/>
                <w:szCs w:val="18"/>
              </w:rPr>
              <w:t>申购费：</w:t>
            </w:r>
            <w:r>
              <w:rPr>
                <w:rFonts w:ascii="宋体" w:hAnsi="宋体" w:hint="eastAsia"/>
                <w:sz w:val="18"/>
                <w:szCs w:val="18"/>
              </w:rPr>
              <w:t>【/】。</w:t>
            </w:r>
          </w:p>
          <w:p w:rsidR="0089074A" w:rsidRDefault="00185114">
            <w:pPr>
              <w:spacing w:line="360" w:lineRule="auto"/>
              <w:jc w:val="left"/>
              <w:rPr>
                <w:rFonts w:ascii="宋体" w:hAnsi="宋体"/>
                <w:sz w:val="18"/>
                <w:szCs w:val="18"/>
              </w:rPr>
            </w:pPr>
            <w:r>
              <w:rPr>
                <w:rFonts w:ascii="宋体" w:hAnsi="宋体" w:hint="eastAsia"/>
                <w:b/>
                <w:bCs/>
                <w:sz w:val="18"/>
                <w:szCs w:val="18"/>
              </w:rPr>
              <w:t>（3）赎回费：</w:t>
            </w:r>
            <w:r>
              <w:rPr>
                <w:rFonts w:ascii="宋体" w:hAnsi="宋体" w:hint="eastAsia"/>
                <w:sz w:val="18"/>
                <w:szCs w:val="18"/>
              </w:rPr>
              <w:t>【/】。</w:t>
            </w:r>
          </w:p>
          <w:p w:rsidR="0089074A" w:rsidRDefault="00185114">
            <w:pPr>
              <w:spacing w:line="360" w:lineRule="auto"/>
              <w:jc w:val="left"/>
              <w:rPr>
                <w:rFonts w:ascii="宋体" w:hAnsi="宋体"/>
                <w:sz w:val="18"/>
                <w:szCs w:val="18"/>
              </w:rPr>
            </w:pPr>
            <w:r>
              <w:rPr>
                <w:rFonts w:ascii="宋体" w:hAnsi="宋体" w:hint="eastAsia"/>
                <w:b/>
                <w:bCs/>
                <w:sz w:val="18"/>
                <w:szCs w:val="18"/>
              </w:rPr>
              <w:t>（4）</w:t>
            </w:r>
            <w:r>
              <w:rPr>
                <w:rFonts w:ascii="宋体" w:hAnsi="宋体"/>
                <w:b/>
                <w:bCs/>
                <w:sz w:val="18"/>
                <w:szCs w:val="18"/>
              </w:rPr>
              <w:t>销售服</w:t>
            </w:r>
            <w:r>
              <w:rPr>
                <w:rFonts w:ascii="宋体" w:hAnsi="宋体" w:hint="eastAsia"/>
                <w:b/>
                <w:bCs/>
                <w:sz w:val="18"/>
                <w:szCs w:val="18"/>
              </w:rPr>
              <w:t>务费：</w:t>
            </w:r>
            <w:r>
              <w:rPr>
                <w:rFonts w:ascii="宋体" w:hAnsi="宋体"/>
                <w:sz w:val="18"/>
                <w:szCs w:val="18"/>
              </w:rPr>
              <w:t>年化费率</w:t>
            </w:r>
            <w:r>
              <w:rPr>
                <w:rFonts w:ascii="宋体" w:hAnsi="宋体" w:hint="eastAsia"/>
                <w:sz w:val="18"/>
                <w:szCs w:val="18"/>
              </w:rPr>
              <w:t>【0</w:t>
            </w:r>
            <w:r>
              <w:rPr>
                <w:rFonts w:ascii="宋体" w:hAnsi="宋体"/>
                <w:sz w:val="18"/>
                <w:szCs w:val="18"/>
              </w:rPr>
              <w:t>.30%</w:t>
            </w:r>
            <w:r>
              <w:rPr>
                <w:rFonts w:ascii="宋体" w:hAnsi="宋体" w:hint="eastAsia"/>
                <w:sz w:val="18"/>
                <w:szCs w:val="18"/>
              </w:rPr>
              <w:t>】。</w:t>
            </w:r>
          </w:p>
          <w:p w:rsidR="0089074A" w:rsidRDefault="00185114">
            <w:pPr>
              <w:spacing w:line="360" w:lineRule="auto"/>
              <w:jc w:val="left"/>
              <w:rPr>
                <w:rFonts w:ascii="宋体" w:hAnsi="宋体"/>
                <w:sz w:val="18"/>
                <w:szCs w:val="18"/>
              </w:rPr>
            </w:pPr>
            <w:r>
              <w:rPr>
                <w:rFonts w:ascii="宋体" w:hAnsi="宋体" w:hint="eastAsia"/>
                <w:b/>
                <w:bCs/>
                <w:sz w:val="18"/>
                <w:szCs w:val="18"/>
              </w:rPr>
              <w:t>（5）投资管理费：</w:t>
            </w:r>
            <w:r>
              <w:rPr>
                <w:rFonts w:ascii="宋体" w:hAnsi="宋体" w:hint="eastAsia"/>
                <w:sz w:val="18"/>
                <w:szCs w:val="18"/>
              </w:rPr>
              <w:t>年化</w:t>
            </w:r>
            <w:r>
              <w:rPr>
                <w:rFonts w:ascii="宋体" w:hAnsi="宋体"/>
                <w:sz w:val="18"/>
                <w:szCs w:val="18"/>
              </w:rPr>
              <w:t>费率</w:t>
            </w:r>
            <w:r>
              <w:rPr>
                <w:rFonts w:ascii="宋体" w:hAnsi="宋体" w:hint="eastAsia"/>
                <w:sz w:val="18"/>
                <w:szCs w:val="18"/>
              </w:rPr>
              <w:t>【0</w:t>
            </w:r>
            <w:r>
              <w:rPr>
                <w:rFonts w:ascii="宋体" w:hAnsi="宋体"/>
                <w:sz w:val="18"/>
                <w:szCs w:val="18"/>
              </w:rPr>
              <w:t>.30%】</w:t>
            </w:r>
            <w:r>
              <w:rPr>
                <w:rFonts w:ascii="宋体" w:hAnsi="宋体" w:hint="eastAsia"/>
                <w:sz w:val="18"/>
                <w:szCs w:val="18"/>
              </w:rPr>
              <w:t>。</w:t>
            </w:r>
          </w:p>
          <w:p w:rsidR="0089074A" w:rsidRDefault="00185114">
            <w:pPr>
              <w:spacing w:line="360" w:lineRule="auto"/>
              <w:jc w:val="left"/>
              <w:rPr>
                <w:rFonts w:ascii="宋体" w:hAnsi="宋体"/>
                <w:sz w:val="18"/>
                <w:szCs w:val="18"/>
              </w:rPr>
            </w:pPr>
            <w:r>
              <w:rPr>
                <w:rFonts w:ascii="宋体" w:hAnsi="宋体" w:hint="eastAsia"/>
                <w:b/>
                <w:bCs/>
                <w:sz w:val="18"/>
                <w:szCs w:val="18"/>
              </w:rPr>
              <w:t>（6）产品托管费：</w:t>
            </w:r>
            <w:r>
              <w:rPr>
                <w:rFonts w:ascii="宋体" w:hAnsi="宋体" w:hint="eastAsia"/>
                <w:sz w:val="18"/>
                <w:szCs w:val="18"/>
              </w:rPr>
              <w:t>年化</w:t>
            </w:r>
            <w:r>
              <w:rPr>
                <w:rFonts w:ascii="宋体" w:hAnsi="宋体"/>
                <w:sz w:val="18"/>
                <w:szCs w:val="18"/>
              </w:rPr>
              <w:t>费率</w:t>
            </w:r>
            <w:r>
              <w:rPr>
                <w:rFonts w:ascii="宋体" w:hAnsi="宋体" w:hint="eastAsia"/>
                <w:sz w:val="18"/>
                <w:szCs w:val="18"/>
              </w:rPr>
              <w:t>【0</w:t>
            </w:r>
            <w:r>
              <w:rPr>
                <w:rFonts w:ascii="宋体" w:hAnsi="宋体"/>
                <w:sz w:val="18"/>
                <w:szCs w:val="18"/>
              </w:rPr>
              <w:t>.03%</w:t>
            </w:r>
            <w:r>
              <w:rPr>
                <w:rFonts w:ascii="宋体" w:hAnsi="宋体" w:hint="eastAsia"/>
                <w:sz w:val="18"/>
                <w:szCs w:val="18"/>
              </w:rPr>
              <w:t>】。</w:t>
            </w:r>
          </w:p>
          <w:p w:rsidR="0089074A" w:rsidRDefault="00185114">
            <w:pPr>
              <w:widowControl/>
              <w:spacing w:line="360" w:lineRule="auto"/>
              <w:jc w:val="left"/>
              <w:rPr>
                <w:rFonts w:ascii="宋体" w:hAnsi="宋体"/>
                <w:sz w:val="18"/>
                <w:szCs w:val="18"/>
              </w:rPr>
            </w:pPr>
            <w:r>
              <w:rPr>
                <w:rFonts w:ascii="宋体" w:hAnsi="宋体" w:hint="eastAsia"/>
                <w:b/>
                <w:bCs/>
                <w:sz w:val="18"/>
                <w:szCs w:val="18"/>
              </w:rPr>
              <w:t>（7）</w:t>
            </w:r>
            <w:r>
              <w:rPr>
                <w:rFonts w:ascii="宋体" w:hAnsi="宋体"/>
                <w:b/>
                <w:bCs/>
                <w:sz w:val="18"/>
                <w:szCs w:val="18"/>
              </w:rPr>
              <w:t>超额业绩报酬：</w:t>
            </w:r>
            <w:r>
              <w:rPr>
                <w:rFonts w:ascii="宋体" w:hAnsi="宋体"/>
                <w:sz w:val="18"/>
                <w:szCs w:val="18"/>
              </w:rPr>
              <w:t>本产品不收取超额业绩报酬</w:t>
            </w:r>
            <w:r>
              <w:rPr>
                <w:rFonts w:ascii="宋体" w:hAnsi="宋体" w:hint="eastAsia"/>
                <w:sz w:val="18"/>
                <w:szCs w:val="18"/>
              </w:rPr>
              <w:t>。</w:t>
            </w:r>
          </w:p>
          <w:p w:rsidR="0089074A" w:rsidRDefault="00185114">
            <w:pPr>
              <w:spacing w:line="360" w:lineRule="auto"/>
              <w:rPr>
                <w:rFonts w:ascii="黑体" w:eastAsia="黑体" w:hAnsi="黑体"/>
                <w:bCs/>
                <w:sz w:val="18"/>
                <w:szCs w:val="18"/>
              </w:rPr>
            </w:pPr>
            <w:r>
              <w:rPr>
                <w:rFonts w:ascii="宋体" w:hAnsi="宋体" w:hint="eastAsia"/>
                <w:bCs/>
                <w:sz w:val="18"/>
                <w:szCs w:val="18"/>
              </w:rPr>
              <w:t>2</w:t>
            </w:r>
            <w:r>
              <w:rPr>
                <w:rFonts w:asciiTheme="majorEastAsia" w:eastAsiaTheme="majorEastAsia" w:hAnsiTheme="majorEastAsia" w:hint="eastAsia"/>
                <w:bCs/>
                <w:sz w:val="18"/>
                <w:szCs w:val="18"/>
              </w:rPr>
              <w:t>.</w:t>
            </w:r>
            <w:r>
              <w:rPr>
                <w:rFonts w:ascii="黑体" w:eastAsia="黑体" w:hAnsi="黑体" w:hint="eastAsia"/>
                <w:bCs/>
                <w:sz w:val="18"/>
                <w:szCs w:val="18"/>
              </w:rPr>
              <w:t>产品管理人</w:t>
            </w:r>
            <w:r>
              <w:rPr>
                <w:rFonts w:ascii="黑体" w:eastAsia="黑体" w:hAnsi="黑体"/>
                <w:bCs/>
                <w:sz w:val="18"/>
                <w:szCs w:val="18"/>
              </w:rPr>
              <w:t>保留变更</w:t>
            </w:r>
            <w:r>
              <w:rPr>
                <w:rFonts w:ascii="黑体" w:eastAsia="黑体" w:hAnsi="黑体" w:hint="eastAsia"/>
                <w:bCs/>
                <w:sz w:val="18"/>
                <w:szCs w:val="18"/>
              </w:rPr>
              <w:t>上述</w:t>
            </w:r>
            <w:r>
              <w:rPr>
                <w:rFonts w:ascii="黑体" w:eastAsia="黑体" w:hAnsi="黑体"/>
                <w:bCs/>
                <w:sz w:val="18"/>
                <w:szCs w:val="18"/>
              </w:rPr>
              <w:t>理财产品</w:t>
            </w:r>
            <w:r>
              <w:rPr>
                <w:rFonts w:ascii="黑体" w:eastAsia="黑体" w:hAnsi="黑体" w:hint="eastAsia"/>
                <w:bCs/>
                <w:sz w:val="18"/>
                <w:szCs w:val="18"/>
              </w:rPr>
              <w:t>收取</w:t>
            </w:r>
            <w:r>
              <w:rPr>
                <w:rFonts w:ascii="黑体" w:eastAsia="黑体" w:hAnsi="黑体"/>
                <w:bCs/>
                <w:sz w:val="18"/>
                <w:szCs w:val="18"/>
              </w:rPr>
              <w:t>费率</w:t>
            </w:r>
            <w:r>
              <w:rPr>
                <w:rFonts w:ascii="黑体" w:eastAsia="黑体" w:hAnsi="黑体" w:hint="eastAsia"/>
                <w:bCs/>
                <w:sz w:val="18"/>
                <w:szCs w:val="18"/>
              </w:rPr>
              <w:t>标准</w:t>
            </w:r>
            <w:r>
              <w:rPr>
                <w:rFonts w:ascii="黑体" w:eastAsia="黑体" w:hAnsi="黑体"/>
                <w:bCs/>
                <w:sz w:val="18"/>
                <w:szCs w:val="18"/>
              </w:rPr>
              <w:t>的权利</w:t>
            </w:r>
            <w:r>
              <w:rPr>
                <w:rFonts w:ascii="黑体" w:eastAsia="黑体" w:hAnsi="黑体" w:hint="eastAsia"/>
                <w:bCs/>
                <w:sz w:val="18"/>
                <w:szCs w:val="18"/>
              </w:rPr>
              <w:t>。</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hAnsi="宋体"/>
                <w:sz w:val="18"/>
                <w:szCs w:val="18"/>
              </w:rPr>
            </w:pPr>
            <w:r>
              <w:rPr>
                <w:rFonts w:ascii="宋体" w:hAnsi="宋体" w:hint="eastAsia"/>
                <w:b/>
                <w:bCs/>
                <w:kern w:val="0"/>
                <w:sz w:val="18"/>
                <w:szCs w:val="18"/>
              </w:rPr>
              <w:t>税收</w:t>
            </w:r>
          </w:p>
        </w:tc>
        <w:tc>
          <w:tcPr>
            <w:tcW w:w="7704" w:type="dxa"/>
            <w:shd w:val="solid" w:color="FFFFFF" w:fill="FFFFFF"/>
            <w:vAlign w:val="center"/>
          </w:tcPr>
          <w:p w:rsidR="0089074A" w:rsidRDefault="00185114">
            <w:pPr>
              <w:spacing w:line="360" w:lineRule="auto"/>
              <w:rPr>
                <w:rFonts w:ascii="宋体" w:hAnsi="宋体"/>
                <w:bCs/>
                <w:color w:val="000000" w:themeColor="text1"/>
                <w:sz w:val="18"/>
                <w:szCs w:val="18"/>
              </w:rPr>
            </w:pPr>
            <w:r>
              <w:rPr>
                <w:rFonts w:hAnsi="宋体" w:cs="仿宋_GB2312" w:hint="eastAsia"/>
                <w:sz w:val="18"/>
                <w:szCs w:val="18"/>
              </w:rPr>
              <w:t>本理财产品运作过程中涉及的各纳税主体，其纳税义务按国家税收法律、法规执行。</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sz w:val="18"/>
                <w:szCs w:val="18"/>
              </w:rPr>
            </w:pPr>
            <w:r>
              <w:rPr>
                <w:rFonts w:asciiTheme="majorEastAsia" w:eastAsiaTheme="majorEastAsia" w:hAnsiTheme="majorEastAsia" w:hint="eastAsia"/>
                <w:b/>
                <w:sz w:val="18"/>
                <w:szCs w:val="18"/>
              </w:rPr>
              <w:t>理财产品份额的转让</w:t>
            </w:r>
          </w:p>
        </w:tc>
        <w:tc>
          <w:tcPr>
            <w:tcW w:w="7704" w:type="dxa"/>
            <w:shd w:val="solid" w:color="FFFFFF" w:fill="FFFFFF"/>
            <w:vAlign w:val="center"/>
          </w:tcPr>
          <w:p w:rsidR="0089074A" w:rsidRDefault="00185114">
            <w:pPr>
              <w:spacing w:line="360" w:lineRule="auto"/>
              <w:jc w:val="left"/>
              <w:rPr>
                <w:rFonts w:ascii="宋体" w:hAnsi="宋体"/>
                <w:sz w:val="18"/>
                <w:szCs w:val="18"/>
              </w:rPr>
            </w:pPr>
            <w:r>
              <w:rPr>
                <w:rFonts w:ascii="宋体" w:hAnsi="宋体" w:hint="eastAsia"/>
                <w:sz w:val="18"/>
                <w:szCs w:val="18"/>
              </w:rPr>
              <w:t>理财产品份额的转让将依照理财产品销售文件及销售机构的业务政策执行。</w:t>
            </w:r>
          </w:p>
        </w:tc>
      </w:tr>
      <w:tr w:rsidR="0089074A">
        <w:trPr>
          <w:trHeight w:val="275"/>
          <w:jc w:val="center"/>
        </w:trPr>
        <w:tc>
          <w:tcPr>
            <w:tcW w:w="1945" w:type="dxa"/>
            <w:shd w:val="solid" w:color="FFFFFF" w:fill="FFFFFF"/>
            <w:vAlign w:val="center"/>
          </w:tcPr>
          <w:p w:rsidR="0089074A" w:rsidRDefault="00185114">
            <w:pPr>
              <w:spacing w:line="360" w:lineRule="auto"/>
              <w:jc w:val="left"/>
              <w:rPr>
                <w:rFonts w:asciiTheme="majorEastAsia" w:eastAsiaTheme="majorEastAsia" w:hAnsiTheme="majorEastAsia"/>
                <w:b/>
                <w:sz w:val="18"/>
                <w:szCs w:val="18"/>
              </w:rPr>
            </w:pPr>
            <w:r>
              <w:rPr>
                <w:rFonts w:asciiTheme="majorEastAsia" w:eastAsiaTheme="majorEastAsia" w:hAnsiTheme="majorEastAsia" w:hint="eastAsia"/>
                <w:b/>
                <w:sz w:val="18"/>
                <w:szCs w:val="18"/>
              </w:rPr>
              <w:t>理财产品份额的质押</w:t>
            </w:r>
          </w:p>
        </w:tc>
        <w:tc>
          <w:tcPr>
            <w:tcW w:w="7704" w:type="dxa"/>
            <w:shd w:val="solid" w:color="FFFFFF" w:fill="FFFFFF"/>
            <w:vAlign w:val="center"/>
          </w:tcPr>
          <w:p w:rsidR="0089074A" w:rsidRDefault="00185114">
            <w:pPr>
              <w:spacing w:line="360" w:lineRule="auto"/>
              <w:jc w:val="left"/>
              <w:rPr>
                <w:rFonts w:ascii="宋体" w:hAnsi="宋体"/>
                <w:sz w:val="18"/>
                <w:szCs w:val="18"/>
              </w:rPr>
            </w:pPr>
            <w:r>
              <w:rPr>
                <w:rFonts w:ascii="宋体" w:hAnsi="宋体" w:hint="eastAsia"/>
                <w:sz w:val="18"/>
                <w:szCs w:val="18"/>
              </w:rPr>
              <w:t>理财产品份额的质押将依照理财产品销售文件及销售机构的业务政策执行。</w:t>
            </w:r>
          </w:p>
        </w:tc>
      </w:tr>
      <w:permEnd w:id="195263156"/>
    </w:tbl>
    <w:p w:rsidR="0089074A" w:rsidRDefault="0089074A">
      <w:pPr>
        <w:pStyle w:val="Default"/>
        <w:spacing w:line="360" w:lineRule="auto"/>
        <w:rPr>
          <w:rFonts w:hAnsi="宋体"/>
          <w:sz w:val="18"/>
          <w:szCs w:val="18"/>
        </w:rPr>
      </w:pPr>
    </w:p>
    <w:p w:rsidR="0089074A" w:rsidRDefault="00185114">
      <w:pPr>
        <w:widowControl/>
        <w:spacing w:line="360" w:lineRule="auto"/>
        <w:jc w:val="left"/>
        <w:rPr>
          <w:rFonts w:ascii="宋体" w:hAnsi="宋体"/>
          <w:color w:val="000000"/>
          <w:kern w:val="0"/>
          <w:sz w:val="18"/>
          <w:szCs w:val="18"/>
        </w:rPr>
      </w:pPr>
      <w:r>
        <w:rPr>
          <w:rFonts w:hAnsi="宋体"/>
          <w:sz w:val="18"/>
          <w:szCs w:val="18"/>
        </w:rPr>
        <w:lastRenderedPageBreak/>
        <w:br w:type="page"/>
      </w:r>
    </w:p>
    <w:p w:rsidR="0089074A" w:rsidRDefault="00185114">
      <w:pPr>
        <w:pStyle w:val="1"/>
        <w:spacing w:before="0" w:after="0" w:line="360" w:lineRule="auto"/>
        <w:jc w:val="center"/>
        <w:rPr>
          <w:rFonts w:ascii="Times New Roman"/>
          <w:sz w:val="30"/>
        </w:rPr>
      </w:pPr>
      <w:bookmarkStart w:id="9" w:name="_Toc103260530"/>
      <w:bookmarkStart w:id="10" w:name="_Toc22117"/>
      <w:bookmarkStart w:id="11" w:name="_Toc92377132"/>
      <w:bookmarkStart w:id="12" w:name="_Toc79154666"/>
      <w:r>
        <w:rPr>
          <w:rFonts w:ascii="Times New Roman"/>
          <w:sz w:val="30"/>
        </w:rPr>
        <w:lastRenderedPageBreak/>
        <w:t>第</w:t>
      </w:r>
      <w:r>
        <w:rPr>
          <w:rFonts w:ascii="Times New Roman" w:hint="eastAsia"/>
          <w:sz w:val="30"/>
        </w:rPr>
        <w:t>三条</w:t>
      </w:r>
      <w:r>
        <w:rPr>
          <w:rFonts w:ascii="Times New Roman"/>
          <w:sz w:val="30"/>
        </w:rPr>
        <w:t xml:space="preserve">  </w:t>
      </w:r>
      <w:bookmarkStart w:id="13" w:name="_Toc79392573"/>
      <w:r>
        <w:rPr>
          <w:rFonts w:ascii="Times New Roman" w:hint="eastAsia"/>
          <w:sz w:val="30"/>
        </w:rPr>
        <w:t>理财产品的认购</w:t>
      </w:r>
      <w:bookmarkEnd w:id="9"/>
      <w:bookmarkEnd w:id="10"/>
      <w:bookmarkEnd w:id="11"/>
      <w:bookmarkEnd w:id="12"/>
    </w:p>
    <w:p w:rsidR="0089074A" w:rsidRDefault="00185114">
      <w:pPr>
        <w:spacing w:line="360" w:lineRule="auto"/>
        <w:ind w:firstLineChars="200" w:firstLine="361"/>
        <w:rPr>
          <w:rFonts w:asciiTheme="minorEastAsia" w:hAnsiTheme="minorEastAsia"/>
          <w:b/>
          <w:bCs/>
          <w:sz w:val="18"/>
          <w:szCs w:val="18"/>
        </w:rPr>
      </w:pPr>
      <w:bookmarkStart w:id="14" w:name="_Hlt88031774"/>
      <w:bookmarkStart w:id="15" w:name="_Hlt88031741"/>
      <w:bookmarkEnd w:id="14"/>
      <w:r>
        <w:rPr>
          <w:rFonts w:asciiTheme="minorEastAsia" w:hAnsiTheme="minorEastAsia" w:hint="eastAsia"/>
          <w:b/>
          <w:bCs/>
          <w:sz w:val="18"/>
          <w:szCs w:val="18"/>
        </w:rPr>
        <w:t>（一）理财产品的认购</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1.</w:t>
      </w:r>
      <w:r>
        <w:rPr>
          <w:rFonts w:asciiTheme="minorEastAsia" w:hAnsiTheme="minorEastAsia" w:hint="eastAsia"/>
          <w:b/>
          <w:bCs/>
          <w:sz w:val="18"/>
          <w:szCs w:val="18"/>
        </w:rPr>
        <w:t>认购的时间</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本产品认购期/募集期详见《产品说明书》“第二条 理财产品基本情况”。</w:t>
      </w:r>
      <w:r>
        <w:rPr>
          <w:rFonts w:asciiTheme="minorEastAsia" w:eastAsiaTheme="minorEastAsia" w:hAnsiTheme="minorEastAsia"/>
          <w:color w:val="auto"/>
          <w:sz w:val="18"/>
          <w:szCs w:val="18"/>
        </w:rPr>
        <w:t>产品管理人有权根据实际募集情况提前或延后产品成立日期，并</w:t>
      </w:r>
      <w:r>
        <w:rPr>
          <w:rFonts w:asciiTheme="minorEastAsia" w:eastAsiaTheme="minorEastAsia" w:hAnsiTheme="minorEastAsia" w:hint="eastAsia"/>
          <w:color w:val="auto"/>
          <w:sz w:val="18"/>
          <w:szCs w:val="18"/>
        </w:rPr>
        <w:t>相应调整其他产品要素，</w:t>
      </w:r>
      <w:r>
        <w:rPr>
          <w:rFonts w:asciiTheme="minorEastAsia" w:eastAsiaTheme="minorEastAsia" w:hAnsiTheme="minorEastAsia"/>
          <w:color w:val="auto"/>
          <w:sz w:val="18"/>
          <w:szCs w:val="18"/>
        </w:rPr>
        <w:t>将依约</w:t>
      </w:r>
      <w:r>
        <w:rPr>
          <w:rFonts w:asciiTheme="minorEastAsia" w:eastAsiaTheme="minorEastAsia" w:hAnsiTheme="minorEastAsia" w:hint="eastAsia"/>
          <w:color w:val="auto"/>
          <w:sz w:val="18"/>
          <w:szCs w:val="18"/>
        </w:rPr>
        <w:t>定进行公告。</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2.认购</w:t>
      </w:r>
      <w:r>
        <w:rPr>
          <w:rFonts w:asciiTheme="minorEastAsia" w:hAnsiTheme="minorEastAsia" w:hint="eastAsia"/>
          <w:b/>
          <w:bCs/>
          <w:sz w:val="18"/>
          <w:szCs w:val="18"/>
        </w:rPr>
        <w:t>的方式</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产品成立之前</w:t>
      </w: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投资者可通过</w:t>
      </w:r>
      <w:r>
        <w:rPr>
          <w:rFonts w:asciiTheme="minorEastAsia" w:eastAsiaTheme="minorEastAsia" w:hAnsiTheme="minorEastAsia" w:hint="eastAsia"/>
          <w:color w:val="auto"/>
          <w:sz w:val="18"/>
          <w:szCs w:val="18"/>
        </w:rPr>
        <w:t>销售机构销售</w:t>
      </w:r>
      <w:r>
        <w:rPr>
          <w:rFonts w:asciiTheme="minorEastAsia" w:eastAsiaTheme="minorEastAsia" w:hAnsiTheme="minorEastAsia"/>
          <w:color w:val="auto"/>
          <w:sz w:val="18"/>
          <w:szCs w:val="18"/>
        </w:rPr>
        <w:t>渠道</w:t>
      </w:r>
      <w:r>
        <w:rPr>
          <w:rFonts w:asciiTheme="minorEastAsia" w:eastAsiaTheme="minorEastAsia" w:hAnsiTheme="minorEastAsia" w:hint="eastAsia"/>
          <w:color w:val="auto"/>
          <w:sz w:val="18"/>
          <w:szCs w:val="18"/>
        </w:rPr>
        <w:t>认购</w:t>
      </w:r>
      <w:r>
        <w:rPr>
          <w:rFonts w:asciiTheme="minorEastAsia" w:eastAsiaTheme="minorEastAsia" w:hAnsiTheme="minorEastAsia"/>
          <w:color w:val="auto"/>
          <w:sz w:val="18"/>
          <w:szCs w:val="18"/>
        </w:rPr>
        <w:t>。</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投资者通过</w:t>
      </w:r>
      <w:r>
        <w:rPr>
          <w:rFonts w:asciiTheme="minorEastAsia" w:eastAsiaTheme="minorEastAsia" w:hAnsiTheme="minorEastAsia" w:hint="eastAsia"/>
          <w:color w:val="auto"/>
          <w:sz w:val="18"/>
          <w:szCs w:val="18"/>
        </w:rPr>
        <w:t>销售机构线下渠道认购的，应签署有关理财产品销售文件。</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eastAsiaTheme="minorEastAsia" w:hAnsiTheme="minorEastAsia"/>
          <w:color w:val="auto"/>
          <w:sz w:val="18"/>
          <w:szCs w:val="18"/>
        </w:rPr>
        <w:t>投资者通过</w:t>
      </w:r>
      <w:r>
        <w:rPr>
          <w:rFonts w:asciiTheme="minorEastAsia" w:eastAsiaTheme="minorEastAsia" w:hAnsiTheme="minorEastAsia" w:hint="eastAsia"/>
          <w:color w:val="auto"/>
          <w:sz w:val="18"/>
          <w:szCs w:val="18"/>
        </w:rPr>
        <w:t>销售机构线上渠道认购的，</w:t>
      </w:r>
      <w:r>
        <w:rPr>
          <w:rFonts w:asciiTheme="minorEastAsia" w:hAnsiTheme="minorEastAsia" w:hint="eastAsia"/>
          <w:bCs/>
          <w:color w:val="auto"/>
          <w:sz w:val="18"/>
          <w:szCs w:val="18"/>
        </w:rPr>
        <w:t>应根据</w:t>
      </w:r>
      <w:r>
        <w:rPr>
          <w:rFonts w:asciiTheme="minorEastAsia" w:eastAsiaTheme="minorEastAsia" w:hAnsiTheme="minorEastAsia" w:hint="eastAsia"/>
          <w:color w:val="auto"/>
          <w:sz w:val="18"/>
          <w:szCs w:val="18"/>
        </w:rPr>
        <w:t>销售机构</w:t>
      </w:r>
      <w:r>
        <w:rPr>
          <w:rFonts w:asciiTheme="minorEastAsia" w:hAnsiTheme="minorEastAsia" w:hint="eastAsia"/>
          <w:bCs/>
          <w:color w:val="auto"/>
          <w:sz w:val="18"/>
          <w:szCs w:val="18"/>
        </w:rPr>
        <w:t>线上渠道的具体要求执行。</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3.</w:t>
      </w:r>
      <w:r>
        <w:rPr>
          <w:rFonts w:asciiTheme="minorEastAsia" w:hAnsiTheme="minorEastAsia" w:hint="eastAsia"/>
          <w:b/>
          <w:bCs/>
          <w:color w:val="auto"/>
          <w:sz w:val="18"/>
          <w:szCs w:val="18"/>
        </w:rPr>
        <w:t>认购的确认</w:t>
      </w:r>
    </w:p>
    <w:tbl>
      <w:tblPr>
        <w:tblStyle w:val="af"/>
        <w:tblW w:w="7861"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984"/>
        <w:gridCol w:w="4267"/>
        <w:gridCol w:w="1610"/>
      </w:tblGrid>
      <w:tr w:rsidR="0089074A">
        <w:trPr>
          <w:jc w:val="center"/>
        </w:trPr>
        <w:tc>
          <w:tcPr>
            <w:tcW w:w="1984" w:type="dxa"/>
            <w:vAlign w:val="center"/>
          </w:tcPr>
          <w:p w:rsidR="0089074A" w:rsidRDefault="00185114">
            <w:pPr>
              <w:spacing w:line="360" w:lineRule="auto"/>
              <w:ind w:firstLineChars="200" w:firstLine="361"/>
              <w:rPr>
                <w:rFonts w:asciiTheme="minorEastAsia" w:eastAsiaTheme="minorEastAsia" w:hAnsiTheme="minorEastAsia"/>
                <w:b/>
                <w:bCs/>
                <w:sz w:val="18"/>
                <w:szCs w:val="18"/>
              </w:rPr>
            </w:pPr>
            <w:r>
              <w:rPr>
                <w:rFonts w:asciiTheme="minorEastAsia" w:hAnsiTheme="minorEastAsia" w:cs="Times New Roman" w:hint="eastAsia"/>
                <w:b/>
                <w:bCs/>
                <w:kern w:val="0"/>
                <w:sz w:val="18"/>
                <w:szCs w:val="18"/>
              </w:rPr>
              <w:t>认购期/募集期</w:t>
            </w:r>
          </w:p>
        </w:tc>
        <w:tc>
          <w:tcPr>
            <w:tcW w:w="4267" w:type="dxa"/>
            <w:vAlign w:val="center"/>
          </w:tcPr>
          <w:p w:rsidR="0089074A" w:rsidRDefault="00185114">
            <w:pPr>
              <w:spacing w:line="360" w:lineRule="auto"/>
              <w:ind w:firstLineChars="200" w:firstLine="361"/>
              <w:jc w:val="center"/>
              <w:rPr>
                <w:rFonts w:asciiTheme="minorEastAsia" w:eastAsiaTheme="minorEastAsia" w:hAnsiTheme="minorEastAsia"/>
                <w:b/>
                <w:bCs/>
                <w:sz w:val="18"/>
                <w:szCs w:val="18"/>
              </w:rPr>
            </w:pPr>
            <w:r>
              <w:rPr>
                <w:rFonts w:asciiTheme="minorEastAsia" w:hAnsiTheme="minorEastAsia" w:cs="Times New Roman" w:hint="eastAsia"/>
                <w:b/>
                <w:bCs/>
                <w:kern w:val="0"/>
                <w:sz w:val="18"/>
                <w:szCs w:val="18"/>
              </w:rPr>
              <w:t>认购确认方式</w:t>
            </w:r>
          </w:p>
        </w:tc>
        <w:tc>
          <w:tcPr>
            <w:tcW w:w="1610" w:type="dxa"/>
            <w:vAlign w:val="center"/>
          </w:tcPr>
          <w:p w:rsidR="0089074A" w:rsidRDefault="00185114">
            <w:pPr>
              <w:spacing w:line="360" w:lineRule="auto"/>
              <w:rPr>
                <w:rFonts w:asciiTheme="minorEastAsia" w:eastAsiaTheme="minorEastAsia" w:hAnsiTheme="minorEastAsia"/>
                <w:b/>
                <w:bCs/>
                <w:sz w:val="18"/>
                <w:szCs w:val="18"/>
              </w:rPr>
            </w:pPr>
            <w:r>
              <w:rPr>
                <w:rFonts w:asciiTheme="minorEastAsia" w:hAnsiTheme="minorEastAsia" w:cs="Times New Roman" w:hint="eastAsia"/>
                <w:b/>
                <w:bCs/>
                <w:kern w:val="0"/>
                <w:sz w:val="18"/>
                <w:szCs w:val="18"/>
              </w:rPr>
              <w:t>认购确认日</w:t>
            </w:r>
          </w:p>
        </w:tc>
      </w:tr>
      <w:tr w:rsidR="0089074A">
        <w:trPr>
          <w:jc w:val="center"/>
        </w:trPr>
        <w:tc>
          <w:tcPr>
            <w:tcW w:w="1984" w:type="dxa"/>
            <w:vAlign w:val="center"/>
          </w:tcPr>
          <w:p w:rsidR="0089074A" w:rsidRDefault="00185114">
            <w:pPr>
              <w:spacing w:line="360" w:lineRule="auto"/>
              <w:jc w:val="left"/>
              <w:rPr>
                <w:rFonts w:asciiTheme="minorEastAsia" w:eastAsiaTheme="minorEastAsia" w:hAnsiTheme="minorEastAsia"/>
                <w:bCs/>
                <w:kern w:val="0"/>
                <w:sz w:val="18"/>
                <w:szCs w:val="18"/>
              </w:rPr>
            </w:pPr>
            <w:r>
              <w:rPr>
                <w:rFonts w:asciiTheme="minorEastAsia" w:eastAsiaTheme="minorEastAsia" w:hAnsiTheme="minorEastAsia" w:cs="Times New Roman" w:hint="eastAsia"/>
                <w:bCs/>
                <w:kern w:val="0"/>
                <w:sz w:val="18"/>
                <w:szCs w:val="18"/>
              </w:rPr>
              <w:t>募集期开始日</w:t>
            </w:r>
            <w:r>
              <w:rPr>
                <w:rFonts w:asciiTheme="minorEastAsia" w:eastAsiaTheme="minorEastAsia" w:hAnsiTheme="minorEastAsia" w:cs="Times New Roman"/>
                <w:bCs/>
                <w:kern w:val="0"/>
                <w:sz w:val="18"/>
                <w:szCs w:val="18"/>
              </w:rPr>
              <w:t>至募集期终止日</w:t>
            </w:r>
          </w:p>
        </w:tc>
        <w:tc>
          <w:tcPr>
            <w:tcW w:w="4267" w:type="dxa"/>
            <w:vAlign w:val="center"/>
          </w:tcPr>
          <w:p w:rsidR="0089074A" w:rsidRDefault="00185114">
            <w:pPr>
              <w:spacing w:line="360" w:lineRule="auto"/>
              <w:rPr>
                <w:rFonts w:asciiTheme="minorEastAsia" w:eastAsiaTheme="minorEastAsia" w:hAnsiTheme="minorEastAsia"/>
                <w:bCs/>
                <w:sz w:val="18"/>
                <w:szCs w:val="18"/>
              </w:rPr>
            </w:pPr>
            <w:r>
              <w:rPr>
                <w:rFonts w:asciiTheme="minorEastAsia" w:hAnsiTheme="minorEastAsia" w:cs="Times New Roman" w:hint="eastAsia"/>
                <w:bCs/>
                <w:kern w:val="0"/>
                <w:sz w:val="18"/>
                <w:szCs w:val="18"/>
              </w:rPr>
              <w:t>产品管理人在产品成立日对投资者的认购申请的有效性进行确认</w:t>
            </w:r>
            <w:r>
              <w:rPr>
                <w:rFonts w:asciiTheme="minorEastAsia" w:eastAsiaTheme="minorEastAsia" w:hAnsiTheme="minorEastAsia" w:cs="Times New Roman" w:hint="eastAsia"/>
                <w:bCs/>
                <w:sz w:val="18"/>
                <w:szCs w:val="18"/>
              </w:rPr>
              <w:t>，并登记理财份额</w:t>
            </w:r>
            <w:r>
              <w:rPr>
                <w:rFonts w:asciiTheme="minorEastAsia" w:hAnsiTheme="minorEastAsia" w:cs="Times New Roman" w:hint="eastAsia"/>
                <w:bCs/>
                <w:kern w:val="0"/>
                <w:sz w:val="18"/>
                <w:szCs w:val="18"/>
              </w:rPr>
              <w:t>。</w:t>
            </w:r>
          </w:p>
        </w:tc>
        <w:tc>
          <w:tcPr>
            <w:tcW w:w="1610" w:type="dxa"/>
            <w:vAlign w:val="center"/>
          </w:tcPr>
          <w:p w:rsidR="0089074A" w:rsidRDefault="00185114">
            <w:pPr>
              <w:spacing w:line="360" w:lineRule="auto"/>
              <w:rPr>
                <w:rFonts w:asciiTheme="minorEastAsia" w:eastAsiaTheme="minorEastAsia" w:hAnsiTheme="minorEastAsia"/>
                <w:bCs/>
                <w:sz w:val="18"/>
                <w:szCs w:val="18"/>
              </w:rPr>
            </w:pPr>
            <w:r>
              <w:rPr>
                <w:rFonts w:asciiTheme="minorEastAsia" w:hAnsiTheme="minorEastAsia" w:cs="Times New Roman" w:hint="eastAsia"/>
                <w:bCs/>
                <w:kern w:val="0"/>
                <w:sz w:val="18"/>
                <w:szCs w:val="18"/>
              </w:rPr>
              <w:t>产品成立日</w:t>
            </w:r>
          </w:p>
        </w:tc>
      </w:tr>
    </w:tbl>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认购期/募集期内投资者可提交认购申请。</w:t>
      </w:r>
      <w:r>
        <w:rPr>
          <w:rFonts w:asciiTheme="majorEastAsia" w:eastAsiaTheme="majorEastAsia" w:hAnsiTheme="majorEastAsia" w:hint="eastAsia"/>
          <w:sz w:val="18"/>
          <w:szCs w:val="18"/>
        </w:rPr>
        <w:t>提交</w:t>
      </w:r>
      <w:r>
        <w:rPr>
          <w:rFonts w:asciiTheme="majorEastAsia" w:eastAsiaTheme="majorEastAsia" w:hAnsiTheme="majorEastAsia"/>
          <w:sz w:val="18"/>
          <w:szCs w:val="18"/>
        </w:rPr>
        <w:t>认购</w:t>
      </w:r>
      <w:r>
        <w:rPr>
          <w:rFonts w:asciiTheme="majorEastAsia" w:eastAsiaTheme="majorEastAsia" w:hAnsiTheme="majorEastAsia" w:hint="eastAsia"/>
          <w:sz w:val="18"/>
          <w:szCs w:val="18"/>
        </w:rPr>
        <w:t>申请并不代表认购成功，产品管理人将在认购确认日确认投资者是否认购成功。</w:t>
      </w:r>
      <w:r>
        <w:rPr>
          <w:rFonts w:asciiTheme="minorEastAsia" w:eastAsiaTheme="minorEastAsia" w:hAnsiTheme="minorEastAsia" w:hint="eastAsia"/>
          <w:sz w:val="18"/>
          <w:szCs w:val="18"/>
        </w:rPr>
        <w:t>认购</w:t>
      </w:r>
      <w:r>
        <w:rPr>
          <w:rFonts w:asciiTheme="majorEastAsia" w:eastAsiaTheme="majorEastAsia" w:hAnsiTheme="majorEastAsia" w:hint="eastAsia"/>
          <w:sz w:val="18"/>
          <w:szCs w:val="18"/>
        </w:rPr>
        <w:t>是否成功以管理人的确认结果为准</w:t>
      </w:r>
      <w:r>
        <w:rPr>
          <w:rFonts w:asciiTheme="minorEastAsia" w:eastAsiaTheme="minorEastAsia" w:hAnsiTheme="minorEastAsia" w:hint="eastAsia"/>
          <w:sz w:val="18"/>
          <w:szCs w:val="18"/>
        </w:rPr>
        <w:t>。</w:t>
      </w:r>
      <w:r>
        <w:rPr>
          <w:rFonts w:asciiTheme="minorEastAsia" w:eastAsiaTheme="minorEastAsia" w:hAnsiTheme="minorEastAsia" w:hint="eastAsia"/>
          <w:bCs/>
          <w:sz w:val="18"/>
          <w:szCs w:val="18"/>
        </w:rPr>
        <w:t>投资者可以在认购确认日系统完成处理后，查询产品份额。</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4</w:t>
      </w:r>
      <w:r>
        <w:rPr>
          <w:rFonts w:asciiTheme="minorEastAsia" w:hAnsiTheme="minorEastAsia" w:hint="eastAsia"/>
          <w:b/>
          <w:bCs/>
          <w:sz w:val="18"/>
          <w:szCs w:val="18"/>
        </w:rPr>
        <w:t>.</w:t>
      </w:r>
      <w:r>
        <w:rPr>
          <w:rFonts w:asciiTheme="minorEastAsia" w:hAnsiTheme="minorEastAsia"/>
          <w:b/>
          <w:bCs/>
          <w:sz w:val="18"/>
          <w:szCs w:val="18"/>
        </w:rPr>
        <w:t>认购的价格</w:t>
      </w:r>
    </w:p>
    <w:p w:rsidR="0089074A" w:rsidRDefault="00185114">
      <w:pPr>
        <w:pStyle w:val="Default"/>
        <w:spacing w:line="360" w:lineRule="auto"/>
        <w:ind w:firstLineChars="200" w:firstLine="360"/>
        <w:rPr>
          <w:rFonts w:asciiTheme="minorEastAsia" w:hAnsiTheme="minorEastAsia"/>
          <w:color w:val="auto"/>
          <w:sz w:val="18"/>
          <w:szCs w:val="18"/>
        </w:rPr>
      </w:pPr>
      <w:r>
        <w:rPr>
          <w:rFonts w:asciiTheme="minorEastAsia" w:eastAsiaTheme="minorEastAsia" w:hAnsiTheme="minorEastAsia" w:hint="eastAsia"/>
          <w:color w:val="auto"/>
          <w:sz w:val="18"/>
          <w:szCs w:val="18"/>
        </w:rPr>
        <w:t>本产品的认购价格为每份理财份额人民币</w:t>
      </w:r>
      <w:r>
        <w:rPr>
          <w:rFonts w:asciiTheme="minorEastAsia" w:eastAsiaTheme="minorEastAsia" w:hAnsiTheme="minorEastAsia"/>
          <w:color w:val="auto"/>
          <w:sz w:val="18"/>
          <w:szCs w:val="18"/>
        </w:rPr>
        <w:t>1.00</w:t>
      </w:r>
      <w:r>
        <w:rPr>
          <w:rFonts w:asciiTheme="minorEastAsia" w:eastAsiaTheme="minorEastAsia" w:hAnsiTheme="minorEastAsia" w:hint="eastAsia"/>
          <w:color w:val="auto"/>
          <w:sz w:val="18"/>
          <w:szCs w:val="18"/>
        </w:rPr>
        <w:t>元。</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5</w:t>
      </w:r>
      <w:r>
        <w:rPr>
          <w:rFonts w:asciiTheme="minorEastAsia" w:eastAsiaTheme="minorEastAsia" w:hAnsiTheme="minorEastAsia" w:hint="eastAsia"/>
          <w:b/>
          <w:color w:val="auto"/>
          <w:sz w:val="18"/>
          <w:szCs w:val="18"/>
        </w:rPr>
        <w:t>.认购的费用</w:t>
      </w:r>
    </w:p>
    <w:p w:rsidR="0089074A" w:rsidRDefault="00185114">
      <w:pPr>
        <w:spacing w:line="360" w:lineRule="auto"/>
        <w:ind w:firstLineChars="200" w:firstLine="360"/>
        <w:rPr>
          <w:bCs/>
          <w:sz w:val="18"/>
          <w:szCs w:val="18"/>
        </w:rPr>
      </w:pPr>
      <w:r>
        <w:rPr>
          <w:rFonts w:asciiTheme="minorEastAsia" w:hAnsiTheme="minorEastAsia" w:hint="eastAsia"/>
          <w:sz w:val="18"/>
          <w:szCs w:val="18"/>
        </w:rPr>
        <w:t>详见</w:t>
      </w:r>
      <w:r>
        <w:rPr>
          <w:rFonts w:asciiTheme="minorEastAsia" w:eastAsiaTheme="minorEastAsia" w:hAnsiTheme="minorEastAsia" w:hint="eastAsia"/>
          <w:sz w:val="18"/>
          <w:szCs w:val="18"/>
        </w:rPr>
        <w:t>《产品说明书》“第二条 理财产品基本情况”</w:t>
      </w:r>
      <w:r>
        <w:rPr>
          <w:rFonts w:hint="eastAsia"/>
          <w:bCs/>
          <w:sz w:val="18"/>
          <w:szCs w:val="18"/>
        </w:rPr>
        <w:t>。</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6.认购份额的计算</w:t>
      </w:r>
    </w:p>
    <w:p w:rsidR="0089074A" w:rsidRDefault="00185114">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本产品的认购金额包括认购费用和净认购金额。认购份额的计算公式为：</w:t>
      </w:r>
    </w:p>
    <w:p w:rsidR="0089074A" w:rsidRDefault="00185114">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净认购金额</w:t>
      </w:r>
      <w:r>
        <w:rPr>
          <w:rFonts w:asciiTheme="minorEastAsia" w:hAnsiTheme="minorEastAsia"/>
          <w:color w:val="auto"/>
          <w:sz w:val="18"/>
          <w:szCs w:val="18"/>
        </w:rPr>
        <w:t>=认购金额/（1+认购费率）</w:t>
      </w:r>
    </w:p>
    <w:p w:rsidR="0089074A" w:rsidRDefault="00185114">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认购费用</w:t>
      </w:r>
      <w:r>
        <w:rPr>
          <w:rFonts w:asciiTheme="minorEastAsia" w:hAnsiTheme="minorEastAsia"/>
          <w:color w:val="auto"/>
          <w:sz w:val="18"/>
          <w:szCs w:val="18"/>
        </w:rPr>
        <w:t>=认购金额－净认购金额</w:t>
      </w:r>
    </w:p>
    <w:p w:rsidR="0089074A" w:rsidRDefault="00185114">
      <w:pPr>
        <w:pStyle w:val="Default"/>
        <w:spacing w:line="360" w:lineRule="auto"/>
        <w:ind w:firstLineChars="200" w:firstLine="360"/>
        <w:rPr>
          <w:rFonts w:asciiTheme="minorEastAsia" w:hAnsiTheme="minorEastAsia"/>
          <w:color w:val="auto"/>
          <w:sz w:val="18"/>
          <w:szCs w:val="18"/>
        </w:rPr>
      </w:pPr>
      <w:r>
        <w:rPr>
          <w:rFonts w:asciiTheme="minorEastAsia" w:hAnsiTheme="minorEastAsia" w:hint="eastAsia"/>
          <w:color w:val="auto"/>
          <w:sz w:val="18"/>
          <w:szCs w:val="18"/>
        </w:rPr>
        <w:t>认购份额</w:t>
      </w:r>
      <w:r>
        <w:rPr>
          <w:rFonts w:asciiTheme="minorEastAsia" w:hAnsiTheme="minorEastAsia"/>
          <w:color w:val="auto"/>
          <w:sz w:val="18"/>
          <w:szCs w:val="18"/>
        </w:rPr>
        <w:t>=净认购金额/产品份额面值</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上述计算结果均按四舍五入方法，保留到小数点后</w:t>
      </w:r>
      <w:r>
        <w:rPr>
          <w:rFonts w:asciiTheme="minorEastAsia" w:hAnsiTheme="minorEastAsia"/>
          <w:bCs/>
          <w:color w:val="auto"/>
          <w:sz w:val="18"/>
          <w:szCs w:val="18"/>
        </w:rPr>
        <w:t>2</w:t>
      </w:r>
      <w:r>
        <w:rPr>
          <w:rFonts w:asciiTheme="minorEastAsia" w:hAnsiTheme="minorEastAsia" w:hint="eastAsia"/>
          <w:bCs/>
          <w:color w:val="auto"/>
          <w:sz w:val="18"/>
          <w:szCs w:val="18"/>
        </w:rPr>
        <w:t>位，由此产生的收益或损失由理财产品承担。</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b/>
          <w:color w:val="auto"/>
          <w:sz w:val="18"/>
          <w:szCs w:val="18"/>
        </w:rPr>
        <w:t>7</w:t>
      </w:r>
      <w:r>
        <w:rPr>
          <w:rFonts w:asciiTheme="majorEastAsia" w:eastAsiaTheme="majorEastAsia" w:hAnsiTheme="majorEastAsia" w:hint="eastAsia"/>
          <w:b/>
          <w:color w:val="auto"/>
          <w:sz w:val="18"/>
          <w:szCs w:val="18"/>
        </w:rPr>
        <w:t>.认购的起点和递增金额</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 理财产品基本情况”。</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8.认购的数量限制</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lastRenderedPageBreak/>
        <w:t>详见《产品说明书》“第二条 理财产品基本情况”。</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9.募集期认购资金利息的处理</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投资者认购资金在产品认购期内产生的利息不作为理财资金进入运作，不计算理财利益。</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eastAsiaTheme="minorEastAsia" w:hAnsiTheme="minorEastAsia" w:hint="eastAsia"/>
          <w:b/>
          <w:color w:val="auto"/>
          <w:sz w:val="18"/>
          <w:szCs w:val="18"/>
        </w:rPr>
        <w:t>（二）认购</w:t>
      </w:r>
      <w:r>
        <w:rPr>
          <w:rFonts w:asciiTheme="majorEastAsia" w:eastAsiaTheme="majorEastAsia" w:hAnsiTheme="majorEastAsia" w:hint="eastAsia"/>
          <w:b/>
          <w:color w:val="auto"/>
          <w:sz w:val="18"/>
          <w:szCs w:val="18"/>
        </w:rPr>
        <w:t>的原则</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1.</w:t>
      </w:r>
      <w:r>
        <w:rPr>
          <w:rFonts w:asciiTheme="majorEastAsia" w:eastAsiaTheme="majorEastAsia" w:hAnsiTheme="majorEastAsia"/>
          <w:color w:val="auto"/>
          <w:sz w:val="18"/>
          <w:szCs w:val="18"/>
        </w:rPr>
        <w:t>“</w:t>
      </w:r>
      <w:r>
        <w:rPr>
          <w:rFonts w:asciiTheme="majorEastAsia" w:eastAsiaTheme="majorEastAsia" w:hAnsiTheme="majorEastAsia" w:hint="eastAsia"/>
          <w:color w:val="auto"/>
          <w:sz w:val="18"/>
          <w:szCs w:val="18"/>
        </w:rPr>
        <w:t>金额认购</w:t>
      </w:r>
      <w:r>
        <w:rPr>
          <w:rFonts w:asciiTheme="majorEastAsia" w:eastAsiaTheme="majorEastAsia" w:hAnsiTheme="majorEastAsia"/>
          <w:color w:val="auto"/>
          <w:sz w:val="18"/>
          <w:szCs w:val="18"/>
        </w:rPr>
        <w:t>”</w:t>
      </w:r>
      <w:r>
        <w:rPr>
          <w:rFonts w:asciiTheme="majorEastAsia" w:eastAsiaTheme="majorEastAsia" w:hAnsiTheme="majorEastAsia" w:hint="eastAsia"/>
          <w:color w:val="auto"/>
          <w:sz w:val="18"/>
          <w:szCs w:val="18"/>
        </w:rPr>
        <w:t>原则，即认购以金额申请。</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.认购</w:t>
      </w:r>
      <w:r>
        <w:rPr>
          <w:rFonts w:asciiTheme="majorEastAsia" w:eastAsiaTheme="majorEastAsia" w:hAnsiTheme="majorEastAsia"/>
          <w:color w:val="auto"/>
          <w:sz w:val="18"/>
          <w:szCs w:val="18"/>
        </w:rPr>
        <w:t>申请可以在对应认购期截止前撤销，最终申</w:t>
      </w:r>
      <w:r>
        <w:rPr>
          <w:rFonts w:asciiTheme="majorEastAsia" w:eastAsiaTheme="majorEastAsia" w:hAnsiTheme="majorEastAsia" w:hint="eastAsia"/>
          <w:color w:val="auto"/>
          <w:sz w:val="18"/>
          <w:szCs w:val="18"/>
        </w:rPr>
        <w:t>请</w:t>
      </w:r>
      <w:r>
        <w:rPr>
          <w:rFonts w:asciiTheme="majorEastAsia" w:eastAsiaTheme="majorEastAsia" w:hAnsiTheme="majorEastAsia"/>
          <w:color w:val="auto"/>
          <w:sz w:val="18"/>
          <w:szCs w:val="18"/>
        </w:rPr>
        <w:t>确认情况以投资者在</w:t>
      </w:r>
      <w:r>
        <w:rPr>
          <w:rFonts w:asciiTheme="majorEastAsia" w:eastAsiaTheme="majorEastAsia" w:hAnsiTheme="majorEastAsia" w:hint="eastAsia"/>
          <w:color w:val="auto"/>
          <w:sz w:val="18"/>
          <w:szCs w:val="18"/>
        </w:rPr>
        <w:t>销售机构线下渠道</w:t>
      </w:r>
      <w:r>
        <w:rPr>
          <w:rFonts w:asciiTheme="majorEastAsia" w:eastAsiaTheme="majorEastAsia" w:hAnsiTheme="majorEastAsia"/>
          <w:color w:val="auto"/>
          <w:sz w:val="18"/>
          <w:szCs w:val="18"/>
        </w:rPr>
        <w:t>或线上渠道确认的结果为准。</w:t>
      </w:r>
    </w:p>
    <w:p w:rsidR="0089074A" w:rsidRDefault="00185114">
      <w:pPr>
        <w:spacing w:line="360" w:lineRule="auto"/>
        <w:ind w:firstLineChars="150" w:firstLine="271"/>
        <w:rPr>
          <w:rFonts w:asciiTheme="minorEastAsia" w:eastAsiaTheme="minorEastAsia" w:hAnsiTheme="minorEastAsia"/>
          <w:b/>
          <w:sz w:val="18"/>
          <w:szCs w:val="18"/>
        </w:rPr>
      </w:pPr>
      <w:r>
        <w:rPr>
          <w:rFonts w:asciiTheme="minorEastAsia" w:eastAsiaTheme="minorEastAsia" w:hAnsiTheme="minorEastAsia" w:hint="eastAsia"/>
          <w:b/>
          <w:sz w:val="18"/>
          <w:szCs w:val="18"/>
        </w:rPr>
        <w:t>（三）拒绝或暂停认购的情形</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发生下列情况时，产品管理人可拒绝或暂停接受投资者的认购</w:t>
      </w:r>
      <w:r>
        <w:rPr>
          <w:rFonts w:asciiTheme="majorEastAsia" w:eastAsiaTheme="majorEastAsia" w:hAnsiTheme="majorEastAsia"/>
          <w:color w:val="auto"/>
          <w:sz w:val="18"/>
          <w:szCs w:val="18"/>
        </w:rPr>
        <w:t>申请：</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.因不可抗力导致理财产品无法正常运作。</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.产品管理人和产品托管人的技术保障等异常情况导致理财销售系统或会计系统无法正常运行。</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.法律法规规定或监管机构认定的其他情形。</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如果投资者的认购申请被拒绝，被拒绝的认购款项将退还给投资者。在暂停认购的情况消除时，产品管理人应及时恢复认购业务的办理。</w:t>
      </w:r>
    </w:p>
    <w:p w:rsidR="0089074A" w:rsidRDefault="00185114">
      <w:pPr>
        <w:pStyle w:val="Default"/>
        <w:spacing w:line="360" w:lineRule="auto"/>
        <w:ind w:leftChars="100" w:left="210" w:firstLineChars="100" w:firstLine="181"/>
        <w:rPr>
          <w:rFonts w:asciiTheme="majorEastAsia" w:eastAsiaTheme="majorEastAsia" w:hAnsiTheme="majorEastAsia"/>
          <w:color w:val="auto"/>
          <w:sz w:val="18"/>
          <w:szCs w:val="18"/>
        </w:rPr>
      </w:pPr>
      <w:r>
        <w:rPr>
          <w:rFonts w:asciiTheme="majorEastAsia" w:eastAsiaTheme="majorEastAsia" w:hAnsiTheme="majorEastAsia" w:hint="eastAsia"/>
          <w:b/>
          <w:color w:val="auto"/>
          <w:sz w:val="18"/>
          <w:szCs w:val="18"/>
        </w:rPr>
        <w:t>（四）日期遇非工作日的调整</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前述日期（包括但不限于认购期及</w:t>
      </w:r>
      <w:r>
        <w:rPr>
          <w:rFonts w:asciiTheme="majorEastAsia" w:eastAsiaTheme="majorEastAsia" w:hAnsiTheme="majorEastAsia"/>
          <w:color w:val="auto"/>
          <w:sz w:val="18"/>
          <w:szCs w:val="18"/>
        </w:rPr>
        <w:t>认购确认日</w:t>
      </w:r>
      <w:r>
        <w:rPr>
          <w:rFonts w:asciiTheme="majorEastAsia" w:eastAsiaTheme="majorEastAsia" w:hAnsiTheme="majorEastAsia" w:hint="eastAsia"/>
          <w:color w:val="auto"/>
          <w:sz w:val="18"/>
          <w:szCs w:val="18"/>
        </w:rPr>
        <w:t>等）如遇非工作日则产品管理人可做相应调整。产品管理人对上述日期保留变更的权利，调整后的日期以产品管理人发布的公告中所载明的日期为准。</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（五）投资者持有理财份额的限额和理财产品总规模限额</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产品管理人有权决定理财份额持有人持有本产品的最高限额、最低限额和本产品的总规模限额。</w:t>
      </w:r>
    </w:p>
    <w:p w:rsidR="0089074A" w:rsidRDefault="0089074A">
      <w:pPr>
        <w:spacing w:line="360" w:lineRule="auto"/>
        <w:ind w:firstLineChars="200" w:firstLine="360"/>
        <w:rPr>
          <w:rFonts w:asciiTheme="minorEastAsia" w:hAnsiTheme="minorEastAsia"/>
          <w:bCs/>
          <w:sz w:val="18"/>
          <w:szCs w:val="18"/>
        </w:rPr>
      </w:pPr>
    </w:p>
    <w:p w:rsidR="0089074A" w:rsidRDefault="00185114">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rsidR="0089074A" w:rsidRDefault="00185114">
      <w:pPr>
        <w:pStyle w:val="1"/>
        <w:spacing w:before="0" w:after="0" w:line="360" w:lineRule="auto"/>
        <w:jc w:val="center"/>
        <w:rPr>
          <w:rFonts w:ascii="Times New Roman"/>
          <w:sz w:val="30"/>
        </w:rPr>
      </w:pPr>
      <w:bookmarkStart w:id="16" w:name="_Toc27778"/>
      <w:bookmarkStart w:id="17" w:name="_Toc79154667"/>
      <w:bookmarkStart w:id="18" w:name="_Toc92377133"/>
      <w:bookmarkStart w:id="19" w:name="_Toc103260531"/>
      <w:r>
        <w:rPr>
          <w:rFonts w:ascii="Times New Roman" w:hint="eastAsia"/>
          <w:sz w:val="30"/>
        </w:rPr>
        <w:lastRenderedPageBreak/>
        <w:t>第四条</w:t>
      </w:r>
      <w:r>
        <w:rPr>
          <w:rFonts w:ascii="Times New Roman" w:hint="eastAsia"/>
          <w:sz w:val="30"/>
        </w:rPr>
        <w:t xml:space="preserve"> </w:t>
      </w:r>
      <w:r>
        <w:rPr>
          <w:rFonts w:ascii="Times New Roman"/>
          <w:sz w:val="30"/>
        </w:rPr>
        <w:t xml:space="preserve"> </w:t>
      </w:r>
      <w:r>
        <w:rPr>
          <w:rFonts w:ascii="Times New Roman" w:hint="eastAsia"/>
          <w:sz w:val="30"/>
        </w:rPr>
        <w:t>理财产品的申购与赎回</w:t>
      </w:r>
      <w:bookmarkEnd w:id="16"/>
      <w:bookmarkEnd w:id="17"/>
      <w:bookmarkEnd w:id="18"/>
      <w:bookmarkEnd w:id="19"/>
    </w:p>
    <w:bookmarkEnd w:id="15"/>
    <w:p w:rsidR="0089074A" w:rsidRDefault="0089074A">
      <w:pPr>
        <w:spacing w:line="360" w:lineRule="auto"/>
        <w:ind w:firstLineChars="200" w:firstLine="420"/>
      </w:pP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（一）理财产品的申购</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1.</w:t>
      </w:r>
      <w:r>
        <w:rPr>
          <w:rFonts w:asciiTheme="minorEastAsia" w:hAnsiTheme="minorEastAsia" w:hint="eastAsia"/>
          <w:b/>
          <w:bCs/>
          <w:color w:val="auto"/>
          <w:sz w:val="18"/>
          <w:szCs w:val="18"/>
        </w:rPr>
        <w:t>申购的时间</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hAnsiTheme="majorEastAsia" w:hint="eastAsia"/>
          <w:color w:val="auto"/>
          <w:sz w:val="18"/>
        </w:rPr>
        <w:t>本产品设置开放期，</w:t>
      </w:r>
      <w:r>
        <w:rPr>
          <w:rFonts w:asciiTheme="majorEastAsia" w:eastAsiaTheme="majorEastAsia" w:hAnsiTheme="majorEastAsia" w:hint="eastAsia"/>
          <w:bCs/>
          <w:color w:val="auto"/>
          <w:sz w:val="18"/>
          <w:szCs w:val="18"/>
        </w:rPr>
        <w:t>具体的申购时间以</w:t>
      </w:r>
      <w:r>
        <w:rPr>
          <w:rFonts w:asciiTheme="minorEastAsia" w:eastAsiaTheme="minorEastAsia" w:hAnsiTheme="minorEastAsia" w:hint="eastAsia"/>
          <w:color w:val="auto"/>
          <w:sz w:val="18"/>
          <w:szCs w:val="18"/>
        </w:rPr>
        <w:t>《产品说明书》“第二条 理财产品基本情况”</w:t>
      </w:r>
      <w:r>
        <w:rPr>
          <w:rFonts w:asciiTheme="majorEastAsia" w:eastAsiaTheme="majorEastAsia" w:hAnsiTheme="majorEastAsia" w:hint="eastAsia"/>
          <w:bCs/>
          <w:color w:val="auto"/>
          <w:sz w:val="18"/>
          <w:szCs w:val="18"/>
        </w:rPr>
        <w:t>为准。</w:t>
      </w:r>
      <w:r>
        <w:rPr>
          <w:rFonts w:asciiTheme="minorEastAsia" w:hAnsiTheme="minorEastAsia" w:hint="eastAsia"/>
          <w:sz w:val="18"/>
          <w:szCs w:val="18"/>
        </w:rPr>
        <w:t>投资者可于开放日内申购，产品管理人公告暂停开放的日期除外</w:t>
      </w:r>
      <w:r>
        <w:rPr>
          <w:rFonts w:asciiTheme="majorEastAsia" w:eastAsiaTheme="majorEastAsia" w:hAnsiTheme="majorEastAsia" w:hint="eastAsia"/>
          <w:bCs/>
          <w:sz w:val="18"/>
          <w:szCs w:val="18"/>
        </w:rPr>
        <w:t>。</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2.申购的方式</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bCs/>
          <w:color w:val="auto"/>
          <w:sz w:val="18"/>
          <w:szCs w:val="18"/>
        </w:rPr>
        <w:t>投资者可通过</w:t>
      </w:r>
      <w:r>
        <w:rPr>
          <w:rFonts w:asciiTheme="minorEastAsia" w:hAnsiTheme="minorEastAsia" w:hint="eastAsia"/>
          <w:bCs/>
          <w:color w:val="auto"/>
          <w:sz w:val="18"/>
          <w:szCs w:val="18"/>
        </w:rPr>
        <w:t>销售机构的销售</w:t>
      </w:r>
      <w:r>
        <w:rPr>
          <w:rFonts w:asciiTheme="minorEastAsia" w:hAnsiTheme="minorEastAsia"/>
          <w:bCs/>
          <w:color w:val="auto"/>
          <w:sz w:val="18"/>
          <w:szCs w:val="18"/>
        </w:rPr>
        <w:t>渠道</w:t>
      </w:r>
      <w:r>
        <w:rPr>
          <w:rFonts w:asciiTheme="minorEastAsia" w:hAnsiTheme="minorEastAsia" w:hint="eastAsia"/>
          <w:bCs/>
          <w:color w:val="auto"/>
          <w:sz w:val="18"/>
          <w:szCs w:val="18"/>
        </w:rPr>
        <w:t>申购。不同销售机构</w:t>
      </w:r>
      <w:r>
        <w:rPr>
          <w:rFonts w:asciiTheme="minorEastAsia" w:hAnsiTheme="minorEastAsia"/>
          <w:bCs/>
          <w:color w:val="auto"/>
          <w:sz w:val="18"/>
          <w:szCs w:val="18"/>
        </w:rPr>
        <w:t>的销售</w:t>
      </w:r>
      <w:r>
        <w:rPr>
          <w:rFonts w:asciiTheme="minorEastAsia" w:hAnsiTheme="minorEastAsia" w:hint="eastAsia"/>
          <w:bCs/>
          <w:color w:val="auto"/>
          <w:sz w:val="18"/>
          <w:szCs w:val="18"/>
        </w:rPr>
        <w:t>渠道，申购确认时效可能存在</w:t>
      </w:r>
      <w:r>
        <w:rPr>
          <w:rFonts w:asciiTheme="minorEastAsia" w:hAnsiTheme="minorEastAsia"/>
          <w:bCs/>
          <w:color w:val="auto"/>
          <w:sz w:val="18"/>
          <w:szCs w:val="18"/>
        </w:rPr>
        <w:t>差异</w:t>
      </w:r>
      <w:r>
        <w:rPr>
          <w:rFonts w:asciiTheme="minorEastAsia" w:hAnsiTheme="minorEastAsia" w:hint="eastAsia"/>
          <w:bCs/>
          <w:color w:val="auto"/>
          <w:sz w:val="18"/>
          <w:szCs w:val="18"/>
        </w:rPr>
        <w:t>。</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bCs/>
          <w:color w:val="auto"/>
          <w:sz w:val="18"/>
          <w:szCs w:val="18"/>
        </w:rPr>
        <w:t>投资者通过</w:t>
      </w:r>
      <w:r>
        <w:rPr>
          <w:rFonts w:asciiTheme="minorEastAsia" w:hAnsiTheme="minorEastAsia" w:hint="eastAsia"/>
          <w:bCs/>
          <w:color w:val="auto"/>
          <w:sz w:val="18"/>
          <w:szCs w:val="18"/>
        </w:rPr>
        <w:t>销售机构线下</w:t>
      </w:r>
      <w:r>
        <w:rPr>
          <w:rFonts w:asciiTheme="minorEastAsia" w:hAnsiTheme="minorEastAsia"/>
          <w:bCs/>
          <w:color w:val="auto"/>
          <w:sz w:val="18"/>
          <w:szCs w:val="18"/>
        </w:rPr>
        <w:t>渠道申购</w:t>
      </w:r>
      <w:r>
        <w:rPr>
          <w:rFonts w:asciiTheme="minorEastAsia" w:hAnsiTheme="minorEastAsia" w:hint="eastAsia"/>
          <w:bCs/>
          <w:color w:val="auto"/>
          <w:sz w:val="18"/>
          <w:szCs w:val="18"/>
        </w:rPr>
        <w:t>的，应签署有关理财产品销售文件。</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投资者通过销售机构线上渠道申购的，应根据销售机构线上渠道的具体要求执行。</w:t>
      </w:r>
    </w:p>
    <w:p w:rsidR="0089074A" w:rsidRDefault="00185114">
      <w:pPr>
        <w:pStyle w:val="Default"/>
        <w:spacing w:line="360" w:lineRule="auto"/>
        <w:ind w:firstLineChars="200" w:firstLine="361"/>
        <w:rPr>
          <w:rFonts w:asciiTheme="minorEastAsia" w:eastAsiaTheme="minorEastAsia" w:hAnsiTheme="minorEastAsia"/>
          <w:bCs/>
          <w:color w:val="auto"/>
          <w:sz w:val="18"/>
          <w:szCs w:val="18"/>
        </w:rPr>
      </w:pPr>
      <w:r>
        <w:rPr>
          <w:rFonts w:asciiTheme="minorEastAsia" w:hAnsiTheme="minorEastAsia"/>
          <w:b/>
          <w:bCs/>
          <w:color w:val="auto"/>
          <w:sz w:val="18"/>
          <w:szCs w:val="18"/>
        </w:rPr>
        <w:t>3.</w:t>
      </w:r>
      <w:r>
        <w:rPr>
          <w:rFonts w:asciiTheme="minorEastAsia" w:hAnsiTheme="minorEastAsia" w:hint="eastAsia"/>
          <w:b/>
          <w:bCs/>
          <w:color w:val="auto"/>
          <w:sz w:val="18"/>
          <w:szCs w:val="18"/>
        </w:rPr>
        <w:t>申购的确认</w:t>
      </w:r>
    </w:p>
    <w:p w:rsidR="0089074A" w:rsidRDefault="00185114">
      <w:pPr>
        <w:spacing w:line="360" w:lineRule="auto"/>
        <w:ind w:firstLineChars="200" w:firstLine="360"/>
        <w:rPr>
          <w:rFonts w:asciiTheme="minorEastAsia" w:hAnsiTheme="minorEastAsia"/>
          <w:bCs/>
          <w:sz w:val="18"/>
          <w:szCs w:val="18"/>
        </w:rPr>
      </w:pPr>
      <w:r>
        <w:rPr>
          <w:rFonts w:asciiTheme="minorEastAsia" w:hAnsiTheme="minorEastAsia" w:hint="eastAsia"/>
          <w:sz w:val="18"/>
          <w:szCs w:val="18"/>
        </w:rPr>
        <w:t>详见《产品说明书》“第二条 理财产品基本情况”</w:t>
      </w:r>
      <w:r>
        <w:rPr>
          <w:rFonts w:hint="eastAsia"/>
          <w:bCs/>
          <w:sz w:val="18"/>
          <w:szCs w:val="18"/>
        </w:rPr>
        <w:t>。</w:t>
      </w:r>
    </w:p>
    <w:p w:rsidR="0089074A" w:rsidRDefault="00185114">
      <w:pPr>
        <w:pStyle w:val="Default"/>
        <w:spacing w:line="360" w:lineRule="auto"/>
        <w:ind w:firstLineChars="200" w:firstLine="360"/>
        <w:rPr>
          <w:rFonts w:asciiTheme="minorEastAsia" w:eastAsiaTheme="minorEastAsia" w:hAnsiTheme="minorEastAsia"/>
          <w:bCs/>
          <w:color w:val="auto"/>
          <w:sz w:val="18"/>
          <w:szCs w:val="18"/>
        </w:rPr>
      </w:pPr>
      <w:r>
        <w:rPr>
          <w:rFonts w:asciiTheme="majorEastAsia" w:eastAsiaTheme="majorEastAsia" w:hAnsiTheme="majorEastAsia" w:hint="eastAsia"/>
          <w:bCs/>
          <w:color w:val="auto"/>
          <w:sz w:val="18"/>
          <w:szCs w:val="18"/>
        </w:rPr>
        <w:t>投资者在开放日交易时间内提交申购申请的，产品管理人在当天受理该申购申请。客户在非交易时间内提交申购申请的，产品</w:t>
      </w:r>
      <w:r>
        <w:rPr>
          <w:rFonts w:asciiTheme="majorEastAsia" w:eastAsiaTheme="majorEastAsia" w:hAnsiTheme="majorEastAsia"/>
          <w:bCs/>
          <w:color w:val="auto"/>
          <w:sz w:val="18"/>
          <w:szCs w:val="18"/>
        </w:rPr>
        <w:t>管理人</w:t>
      </w:r>
      <w:r>
        <w:rPr>
          <w:rFonts w:asciiTheme="majorEastAsia" w:eastAsiaTheme="majorEastAsia" w:hAnsiTheme="majorEastAsia" w:hint="eastAsia"/>
          <w:bCs/>
          <w:color w:val="auto"/>
          <w:sz w:val="18"/>
          <w:szCs w:val="18"/>
        </w:rPr>
        <w:t>视同下一个开放日的交易时间内受理该申购申请。</w:t>
      </w:r>
      <w:r>
        <w:rPr>
          <w:rFonts w:asciiTheme="majorEastAsia" w:eastAsiaTheme="majorEastAsia" w:hAnsiTheme="majorEastAsia" w:hint="eastAsia"/>
          <w:color w:val="auto"/>
          <w:sz w:val="18"/>
          <w:szCs w:val="18"/>
        </w:rPr>
        <w:t>提交申购申请并不代表申购成功，产品管理人将在申购确认日确认投资者是否申购成功。申购是否成功以管理人的确认结果为准</w:t>
      </w:r>
      <w:r>
        <w:rPr>
          <w:rFonts w:asciiTheme="minorEastAsia" w:eastAsiaTheme="minorEastAsia" w:hAnsiTheme="minorEastAsia" w:hint="eastAsia"/>
          <w:color w:val="auto"/>
          <w:sz w:val="18"/>
          <w:szCs w:val="18"/>
        </w:rPr>
        <w:t>。</w:t>
      </w:r>
      <w:r>
        <w:rPr>
          <w:rFonts w:asciiTheme="minorEastAsia" w:eastAsiaTheme="minorEastAsia" w:hAnsiTheme="minorEastAsia" w:hint="eastAsia"/>
          <w:bCs/>
          <w:color w:val="auto"/>
          <w:sz w:val="18"/>
          <w:szCs w:val="18"/>
        </w:rPr>
        <w:t>投资者可以在申购确认日系统完成处理后，查询产品份额。</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4</w:t>
      </w:r>
      <w:r>
        <w:rPr>
          <w:rFonts w:asciiTheme="minorEastAsia" w:hAnsiTheme="minorEastAsia" w:hint="eastAsia"/>
          <w:b/>
          <w:bCs/>
          <w:sz w:val="18"/>
          <w:szCs w:val="18"/>
        </w:rPr>
        <w:t>.申购</w:t>
      </w:r>
      <w:r>
        <w:rPr>
          <w:rFonts w:asciiTheme="minorEastAsia" w:hAnsiTheme="minorEastAsia"/>
          <w:b/>
          <w:bCs/>
          <w:sz w:val="18"/>
          <w:szCs w:val="18"/>
        </w:rPr>
        <w:t>的价格</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申购价格为申购日的产品份额净值。</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5.</w:t>
      </w:r>
      <w:r>
        <w:rPr>
          <w:rFonts w:asciiTheme="minorEastAsia" w:hAnsiTheme="minorEastAsia" w:hint="eastAsia"/>
          <w:b/>
          <w:bCs/>
          <w:sz w:val="18"/>
          <w:szCs w:val="18"/>
        </w:rPr>
        <w:t>申购的</w:t>
      </w:r>
      <w:r>
        <w:rPr>
          <w:rFonts w:asciiTheme="minorEastAsia" w:hAnsiTheme="minorEastAsia"/>
          <w:b/>
          <w:bCs/>
          <w:sz w:val="18"/>
          <w:szCs w:val="18"/>
        </w:rPr>
        <w:t>费用</w:t>
      </w:r>
    </w:p>
    <w:p w:rsidR="0089074A" w:rsidRDefault="00185114">
      <w:pPr>
        <w:spacing w:line="360" w:lineRule="auto"/>
        <w:ind w:firstLineChars="200" w:firstLine="360"/>
        <w:rPr>
          <w:bCs/>
          <w:sz w:val="18"/>
          <w:szCs w:val="18"/>
        </w:rPr>
      </w:pPr>
      <w:r>
        <w:rPr>
          <w:rFonts w:asciiTheme="minorEastAsia" w:hAnsiTheme="minorEastAsia" w:hint="eastAsia"/>
          <w:sz w:val="18"/>
          <w:szCs w:val="18"/>
        </w:rPr>
        <w:t>详见</w:t>
      </w:r>
      <w:r>
        <w:rPr>
          <w:rFonts w:asciiTheme="minorEastAsia" w:eastAsiaTheme="minorEastAsia" w:hAnsiTheme="minorEastAsia" w:hint="eastAsia"/>
          <w:sz w:val="18"/>
          <w:szCs w:val="18"/>
        </w:rPr>
        <w:t>《产品说明书》“第二条</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理财产品基本情况”</w:t>
      </w:r>
      <w:r>
        <w:rPr>
          <w:rFonts w:hint="eastAsia"/>
          <w:bCs/>
          <w:sz w:val="18"/>
          <w:szCs w:val="18"/>
        </w:rPr>
        <w:t>。</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hAnsiTheme="minorEastAsia"/>
          <w:b/>
          <w:bCs/>
          <w:color w:val="auto"/>
          <w:sz w:val="18"/>
          <w:szCs w:val="18"/>
        </w:rPr>
        <w:t>6.</w:t>
      </w:r>
      <w:r>
        <w:rPr>
          <w:rFonts w:asciiTheme="minorEastAsia" w:hAnsiTheme="minorEastAsia" w:hint="eastAsia"/>
          <w:b/>
          <w:bCs/>
          <w:sz w:val="18"/>
          <w:szCs w:val="18"/>
        </w:rPr>
        <w:t>申购份额计算</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本产品的申购金额包括申购费用和净申购金额。申购份额的计算公式为：</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净申购金额</w:t>
      </w:r>
      <w:r>
        <w:rPr>
          <w:rFonts w:asciiTheme="minorEastAsia" w:hAnsiTheme="minorEastAsia"/>
          <w:bCs/>
          <w:color w:val="auto"/>
          <w:sz w:val="18"/>
          <w:szCs w:val="18"/>
        </w:rPr>
        <w:t>=申购金额/（1+申购费率）</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申购费用</w:t>
      </w:r>
      <w:r>
        <w:rPr>
          <w:rFonts w:asciiTheme="minorEastAsia" w:hAnsiTheme="minorEastAsia"/>
          <w:bCs/>
          <w:color w:val="auto"/>
          <w:sz w:val="18"/>
          <w:szCs w:val="18"/>
        </w:rPr>
        <w:t>=申购金额－净申购金额</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申购份额</w:t>
      </w:r>
      <w:r>
        <w:rPr>
          <w:rFonts w:asciiTheme="minorEastAsia" w:hAnsiTheme="minorEastAsia"/>
          <w:bCs/>
          <w:color w:val="auto"/>
          <w:sz w:val="18"/>
          <w:szCs w:val="18"/>
        </w:rPr>
        <w:t>=净申购金额/申购日产品份额净值</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上述计算结果均按四舍五入方法，保留到小数点后</w:t>
      </w:r>
      <w:r>
        <w:rPr>
          <w:rFonts w:asciiTheme="minorEastAsia" w:hAnsiTheme="minorEastAsia"/>
          <w:bCs/>
          <w:color w:val="auto"/>
          <w:sz w:val="18"/>
          <w:szCs w:val="18"/>
        </w:rPr>
        <w:t>2位，由此产生的收益或损失由理财产品承担。</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b/>
          <w:color w:val="auto"/>
          <w:sz w:val="18"/>
          <w:szCs w:val="18"/>
        </w:rPr>
        <w:t>7.</w:t>
      </w:r>
      <w:r>
        <w:rPr>
          <w:rFonts w:asciiTheme="majorEastAsia" w:eastAsiaTheme="majorEastAsia" w:hAnsiTheme="majorEastAsia" w:hint="eastAsia"/>
          <w:b/>
          <w:color w:val="auto"/>
          <w:sz w:val="18"/>
          <w:szCs w:val="18"/>
        </w:rPr>
        <w:t>申购的起点和递增金额</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w:t>
      </w:r>
      <w:r>
        <w:rPr>
          <w:rFonts w:asciiTheme="minorEastAsia" w:eastAsiaTheme="minorEastAsia" w:hAnsiTheme="minorEastAsia"/>
          <w:color w:val="auto"/>
          <w:sz w:val="18"/>
          <w:szCs w:val="18"/>
        </w:rPr>
        <w:t xml:space="preserve"> </w:t>
      </w:r>
      <w:r>
        <w:rPr>
          <w:rFonts w:asciiTheme="minorEastAsia" w:eastAsiaTheme="minorEastAsia" w:hAnsiTheme="minorEastAsia" w:hint="eastAsia"/>
          <w:color w:val="auto"/>
          <w:sz w:val="18"/>
          <w:szCs w:val="18"/>
        </w:rPr>
        <w:t>理财产品基本情况”。</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8.</w:t>
      </w:r>
      <w:r>
        <w:rPr>
          <w:rFonts w:asciiTheme="minorEastAsia" w:eastAsiaTheme="minorEastAsia" w:hAnsiTheme="minorEastAsia" w:hint="eastAsia"/>
          <w:b/>
          <w:color w:val="auto"/>
          <w:sz w:val="18"/>
          <w:szCs w:val="18"/>
        </w:rPr>
        <w:t>申购</w:t>
      </w:r>
      <w:r>
        <w:rPr>
          <w:rFonts w:asciiTheme="minorEastAsia" w:eastAsiaTheme="minorEastAsia" w:hAnsiTheme="minorEastAsia"/>
          <w:b/>
          <w:color w:val="auto"/>
          <w:sz w:val="18"/>
          <w:szCs w:val="18"/>
        </w:rPr>
        <w:t>的数量限制</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lastRenderedPageBreak/>
        <w:t>详见《产品说明书》“第二条</w:t>
      </w:r>
      <w:r>
        <w:rPr>
          <w:rFonts w:asciiTheme="minorEastAsia" w:eastAsiaTheme="minorEastAsia" w:hAnsiTheme="minorEastAsia"/>
          <w:color w:val="auto"/>
          <w:sz w:val="18"/>
          <w:szCs w:val="18"/>
        </w:rPr>
        <w:t xml:space="preserve"> </w:t>
      </w:r>
      <w:r>
        <w:rPr>
          <w:rFonts w:asciiTheme="minorEastAsia" w:eastAsiaTheme="minorEastAsia" w:hAnsiTheme="minorEastAsia" w:hint="eastAsia"/>
          <w:color w:val="auto"/>
          <w:sz w:val="18"/>
          <w:szCs w:val="18"/>
        </w:rPr>
        <w:t>理财产品基本情况”。</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（二）理财产品的赎回</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1.</w:t>
      </w:r>
      <w:r>
        <w:rPr>
          <w:rFonts w:asciiTheme="minorEastAsia" w:hAnsiTheme="minorEastAsia" w:hint="eastAsia"/>
          <w:b/>
          <w:bCs/>
          <w:color w:val="auto"/>
          <w:sz w:val="18"/>
          <w:szCs w:val="18"/>
        </w:rPr>
        <w:t>赎回的时间</w:t>
      </w:r>
    </w:p>
    <w:p w:rsidR="0089074A" w:rsidRDefault="00185114">
      <w:pPr>
        <w:pStyle w:val="Default"/>
        <w:spacing w:line="360" w:lineRule="auto"/>
        <w:ind w:firstLineChars="200" w:firstLine="360"/>
        <w:rPr>
          <w:rFonts w:asciiTheme="majorEastAsia" w:eastAsiaTheme="majorEastAsia" w:hAnsiTheme="majorEastAsia"/>
          <w:bCs/>
          <w:sz w:val="18"/>
          <w:szCs w:val="18"/>
        </w:rPr>
      </w:pPr>
      <w:r>
        <w:rPr>
          <w:rFonts w:asciiTheme="majorEastAsia" w:hAnsiTheme="majorEastAsia" w:hint="eastAsia"/>
          <w:color w:val="auto"/>
          <w:sz w:val="18"/>
        </w:rPr>
        <w:t>本产品设置开放期，</w:t>
      </w:r>
      <w:r>
        <w:rPr>
          <w:rFonts w:asciiTheme="majorEastAsia" w:eastAsiaTheme="majorEastAsia" w:hAnsiTheme="majorEastAsia" w:hint="eastAsia"/>
          <w:bCs/>
          <w:color w:val="auto"/>
          <w:sz w:val="18"/>
          <w:szCs w:val="18"/>
        </w:rPr>
        <w:t>具体的赎回时间以</w:t>
      </w:r>
      <w:r>
        <w:rPr>
          <w:rFonts w:asciiTheme="minorEastAsia" w:eastAsiaTheme="minorEastAsia" w:hAnsiTheme="minorEastAsia" w:hint="eastAsia"/>
          <w:color w:val="auto"/>
          <w:sz w:val="18"/>
          <w:szCs w:val="18"/>
        </w:rPr>
        <w:t>《产品说明书》“第二条 理财产品基本情况”</w:t>
      </w:r>
      <w:r>
        <w:rPr>
          <w:rFonts w:asciiTheme="majorEastAsia" w:eastAsiaTheme="majorEastAsia" w:hAnsiTheme="majorEastAsia" w:hint="eastAsia"/>
          <w:bCs/>
          <w:color w:val="auto"/>
          <w:sz w:val="18"/>
          <w:szCs w:val="18"/>
        </w:rPr>
        <w:t>为准。</w:t>
      </w:r>
      <w:r>
        <w:rPr>
          <w:rFonts w:asciiTheme="minorEastAsia" w:hAnsiTheme="minorEastAsia" w:hint="eastAsia"/>
          <w:sz w:val="18"/>
          <w:szCs w:val="18"/>
        </w:rPr>
        <w:t>投资者可于开放日内赎回，产品管理人公告暂停开放的日期除外</w:t>
      </w:r>
      <w:r>
        <w:rPr>
          <w:rFonts w:asciiTheme="majorEastAsia" w:eastAsiaTheme="majorEastAsia" w:hAnsiTheme="majorEastAsia" w:hint="eastAsia"/>
          <w:bCs/>
          <w:sz w:val="18"/>
          <w:szCs w:val="18"/>
        </w:rPr>
        <w:t>。</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2.赎回的方式</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投资者可通过</w:t>
      </w:r>
      <w:r>
        <w:rPr>
          <w:rFonts w:asciiTheme="majorEastAsia" w:eastAsiaTheme="majorEastAsia" w:hAnsiTheme="majorEastAsia" w:hint="eastAsia"/>
          <w:color w:val="auto"/>
          <w:sz w:val="18"/>
          <w:szCs w:val="18"/>
        </w:rPr>
        <w:t>销售机构的销售</w:t>
      </w:r>
      <w:r>
        <w:rPr>
          <w:rFonts w:asciiTheme="majorEastAsia" w:eastAsiaTheme="majorEastAsia" w:hAnsiTheme="majorEastAsia"/>
          <w:color w:val="auto"/>
          <w:sz w:val="18"/>
          <w:szCs w:val="18"/>
        </w:rPr>
        <w:t>渠道</w:t>
      </w:r>
      <w:r>
        <w:rPr>
          <w:rFonts w:asciiTheme="majorEastAsia" w:eastAsiaTheme="majorEastAsia" w:hAnsiTheme="majorEastAsia" w:hint="eastAsia"/>
          <w:color w:val="auto"/>
          <w:sz w:val="18"/>
          <w:szCs w:val="18"/>
        </w:rPr>
        <w:t>赎回</w:t>
      </w:r>
      <w:r>
        <w:rPr>
          <w:rFonts w:asciiTheme="majorEastAsia" w:eastAsiaTheme="majorEastAsia" w:hAnsiTheme="majorEastAsia"/>
          <w:color w:val="auto"/>
          <w:sz w:val="18"/>
          <w:szCs w:val="18"/>
        </w:rPr>
        <w:t>。</w:t>
      </w:r>
      <w:r>
        <w:rPr>
          <w:rFonts w:asciiTheme="minorEastAsia" w:hAnsiTheme="minorEastAsia" w:hint="eastAsia"/>
          <w:bCs/>
          <w:color w:val="auto"/>
          <w:sz w:val="18"/>
          <w:szCs w:val="18"/>
        </w:rPr>
        <w:t>不同销售机构</w:t>
      </w:r>
      <w:r>
        <w:rPr>
          <w:rFonts w:asciiTheme="minorEastAsia" w:hAnsiTheme="minorEastAsia"/>
          <w:bCs/>
          <w:color w:val="auto"/>
          <w:sz w:val="18"/>
          <w:szCs w:val="18"/>
        </w:rPr>
        <w:t>的销售</w:t>
      </w:r>
      <w:r>
        <w:rPr>
          <w:rFonts w:asciiTheme="minorEastAsia" w:hAnsiTheme="minorEastAsia" w:hint="eastAsia"/>
          <w:bCs/>
          <w:color w:val="auto"/>
          <w:sz w:val="18"/>
          <w:szCs w:val="18"/>
        </w:rPr>
        <w:t>渠道，赎回确认时效可能存在</w:t>
      </w:r>
      <w:r>
        <w:rPr>
          <w:rFonts w:asciiTheme="minorEastAsia" w:hAnsiTheme="minorEastAsia"/>
          <w:bCs/>
          <w:color w:val="auto"/>
          <w:sz w:val="18"/>
          <w:szCs w:val="18"/>
        </w:rPr>
        <w:t>差异</w:t>
      </w:r>
      <w:r>
        <w:rPr>
          <w:rFonts w:asciiTheme="minorEastAsia" w:hAnsiTheme="minorEastAsia" w:hint="eastAsia"/>
          <w:bCs/>
          <w:color w:val="auto"/>
          <w:sz w:val="18"/>
          <w:szCs w:val="18"/>
        </w:rPr>
        <w:t>。</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投资者通过</w:t>
      </w:r>
      <w:r>
        <w:rPr>
          <w:rFonts w:asciiTheme="minorEastAsia" w:eastAsiaTheme="minorEastAsia" w:hAnsiTheme="minorEastAsia" w:hint="eastAsia"/>
          <w:color w:val="auto"/>
          <w:sz w:val="18"/>
          <w:szCs w:val="18"/>
        </w:rPr>
        <w:t>销售机构线下</w:t>
      </w:r>
      <w:r>
        <w:rPr>
          <w:rFonts w:asciiTheme="minorEastAsia" w:eastAsiaTheme="minorEastAsia" w:hAnsiTheme="minorEastAsia"/>
          <w:color w:val="auto"/>
          <w:sz w:val="18"/>
          <w:szCs w:val="18"/>
        </w:rPr>
        <w:t>渠道赎回的</w:t>
      </w:r>
      <w:r>
        <w:rPr>
          <w:rFonts w:asciiTheme="majorEastAsia" w:eastAsiaTheme="majorEastAsia" w:hAnsiTheme="majorEastAsia" w:hint="eastAsia"/>
          <w:color w:val="auto"/>
          <w:sz w:val="18"/>
          <w:szCs w:val="18"/>
        </w:rPr>
        <w:t>，应签署</w:t>
      </w:r>
      <w:r>
        <w:rPr>
          <w:rFonts w:asciiTheme="minorEastAsia" w:hAnsiTheme="minorEastAsia" w:hint="eastAsia"/>
          <w:bCs/>
          <w:color w:val="auto"/>
          <w:sz w:val="18"/>
          <w:szCs w:val="18"/>
        </w:rPr>
        <w:t>有关理财产品销售文件</w:t>
      </w:r>
      <w:r>
        <w:rPr>
          <w:rFonts w:asciiTheme="majorEastAsia" w:eastAsiaTheme="majorEastAsia" w:hAnsiTheme="majorEastAsia" w:hint="eastAsia"/>
          <w:color w:val="auto"/>
          <w:sz w:val="18"/>
          <w:szCs w:val="18"/>
        </w:rPr>
        <w:t>。</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ajorEastAsia" w:eastAsiaTheme="majorEastAsia" w:hAnsiTheme="majorEastAsia" w:hint="eastAsia"/>
          <w:color w:val="auto"/>
          <w:sz w:val="18"/>
          <w:szCs w:val="18"/>
        </w:rPr>
        <w:t>投资者通过销售机构线上渠道</w:t>
      </w:r>
      <w:r>
        <w:rPr>
          <w:rFonts w:asciiTheme="minorEastAsia" w:eastAsiaTheme="minorEastAsia" w:hAnsiTheme="minorEastAsia" w:hint="eastAsia"/>
          <w:color w:val="auto"/>
          <w:sz w:val="18"/>
          <w:szCs w:val="18"/>
        </w:rPr>
        <w:t>赎回的，</w:t>
      </w:r>
      <w:r>
        <w:rPr>
          <w:rFonts w:asciiTheme="minorEastAsia" w:hAnsiTheme="minorEastAsia" w:hint="eastAsia"/>
          <w:bCs/>
          <w:color w:val="auto"/>
          <w:sz w:val="18"/>
          <w:szCs w:val="18"/>
        </w:rPr>
        <w:t>应根据销售机构线上渠道的具体要求执行。</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b/>
          <w:bCs/>
          <w:color w:val="auto"/>
          <w:sz w:val="18"/>
          <w:szCs w:val="18"/>
        </w:rPr>
        <w:t>3.</w:t>
      </w:r>
      <w:r>
        <w:rPr>
          <w:rFonts w:asciiTheme="minorEastAsia" w:hAnsiTheme="minorEastAsia" w:hint="eastAsia"/>
          <w:b/>
          <w:bCs/>
          <w:color w:val="auto"/>
          <w:sz w:val="18"/>
          <w:szCs w:val="18"/>
        </w:rPr>
        <w:t>赎回的确认</w:t>
      </w:r>
    </w:p>
    <w:p w:rsidR="0089074A" w:rsidRDefault="00185114">
      <w:pPr>
        <w:spacing w:line="360" w:lineRule="auto"/>
        <w:ind w:firstLineChars="200" w:firstLine="360"/>
        <w:rPr>
          <w:rFonts w:asciiTheme="minorEastAsia" w:hAnsiTheme="minorEastAsia"/>
          <w:bCs/>
          <w:sz w:val="18"/>
          <w:szCs w:val="18"/>
        </w:rPr>
      </w:pPr>
      <w:r>
        <w:rPr>
          <w:rFonts w:asciiTheme="minorEastAsia" w:hAnsiTheme="minorEastAsia" w:hint="eastAsia"/>
          <w:sz w:val="18"/>
          <w:szCs w:val="18"/>
        </w:rPr>
        <w:t>详见《产品说明书》“第二条 理财产品基本情况”</w:t>
      </w:r>
      <w:r>
        <w:rPr>
          <w:rFonts w:hint="eastAsia"/>
          <w:bCs/>
          <w:sz w:val="18"/>
          <w:szCs w:val="18"/>
        </w:rPr>
        <w:t>。</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投资者在开放日交易时间内提交赎回申请的，在当天受理该赎回申请。投资者在非交易时间内提交赎回申请的，视同下一个开放日的交易时间内受理该赎回申请。</w:t>
      </w:r>
      <w:r>
        <w:rPr>
          <w:rFonts w:asciiTheme="majorEastAsia" w:eastAsiaTheme="majorEastAsia" w:hAnsiTheme="majorEastAsia" w:hint="eastAsia"/>
          <w:color w:val="auto"/>
          <w:sz w:val="18"/>
          <w:szCs w:val="18"/>
        </w:rPr>
        <w:t>提交赎回申请并不代表赎回成功，产品管理人将在赎回确认日确认投资者是否赎回成功。赎回是否成功以管理人的确认结果为准</w:t>
      </w:r>
      <w:r>
        <w:rPr>
          <w:rFonts w:asciiTheme="minorEastAsia" w:eastAsiaTheme="minorEastAsia" w:hAnsiTheme="minorEastAsia" w:hint="eastAsia"/>
          <w:color w:val="auto"/>
          <w:sz w:val="18"/>
          <w:szCs w:val="18"/>
        </w:rPr>
        <w:t>。</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4</w:t>
      </w:r>
      <w:r>
        <w:rPr>
          <w:rFonts w:asciiTheme="minorEastAsia" w:hAnsiTheme="minorEastAsia" w:hint="eastAsia"/>
          <w:b/>
          <w:bCs/>
          <w:sz w:val="18"/>
          <w:szCs w:val="18"/>
        </w:rPr>
        <w:t>.赎回</w:t>
      </w:r>
      <w:r>
        <w:rPr>
          <w:rFonts w:asciiTheme="minorEastAsia" w:hAnsiTheme="minorEastAsia"/>
          <w:b/>
          <w:bCs/>
          <w:sz w:val="18"/>
          <w:szCs w:val="18"/>
        </w:rPr>
        <w:t>的价格</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bCs/>
          <w:color w:val="auto"/>
          <w:sz w:val="18"/>
          <w:szCs w:val="18"/>
        </w:rPr>
        <w:t>赎回</w:t>
      </w:r>
      <w:r>
        <w:rPr>
          <w:rFonts w:asciiTheme="majorEastAsia" w:eastAsiaTheme="majorEastAsia" w:hAnsiTheme="majorEastAsia"/>
          <w:bCs/>
          <w:color w:val="auto"/>
          <w:sz w:val="18"/>
          <w:szCs w:val="18"/>
        </w:rPr>
        <w:t>价格为赎回日</w:t>
      </w:r>
      <w:r>
        <w:rPr>
          <w:rFonts w:asciiTheme="majorEastAsia" w:eastAsiaTheme="majorEastAsia" w:hAnsiTheme="majorEastAsia" w:hint="eastAsia"/>
          <w:bCs/>
          <w:color w:val="auto"/>
          <w:sz w:val="18"/>
          <w:szCs w:val="18"/>
        </w:rPr>
        <w:t>的</w:t>
      </w:r>
      <w:r>
        <w:rPr>
          <w:rFonts w:asciiTheme="majorEastAsia" w:eastAsiaTheme="majorEastAsia" w:hAnsiTheme="majorEastAsia"/>
          <w:bCs/>
          <w:color w:val="auto"/>
          <w:sz w:val="18"/>
          <w:szCs w:val="18"/>
        </w:rPr>
        <w:t>产品份额净值</w:t>
      </w:r>
      <w:r>
        <w:rPr>
          <w:rFonts w:asciiTheme="majorEastAsia" w:eastAsiaTheme="majorEastAsia" w:hAnsiTheme="majorEastAsia" w:hint="eastAsia"/>
          <w:bCs/>
          <w:color w:val="auto"/>
          <w:sz w:val="18"/>
          <w:szCs w:val="18"/>
        </w:rPr>
        <w:t>。</w:t>
      </w:r>
    </w:p>
    <w:p w:rsidR="0089074A" w:rsidRDefault="00185114">
      <w:pPr>
        <w:spacing w:line="360" w:lineRule="auto"/>
        <w:ind w:firstLineChars="200" w:firstLine="361"/>
        <w:rPr>
          <w:rFonts w:asciiTheme="minorEastAsia" w:hAnsiTheme="minorEastAsia"/>
          <w:b/>
          <w:bCs/>
          <w:sz w:val="18"/>
          <w:szCs w:val="18"/>
        </w:rPr>
      </w:pPr>
      <w:r>
        <w:rPr>
          <w:rFonts w:asciiTheme="minorEastAsia" w:hAnsiTheme="minorEastAsia"/>
          <w:b/>
          <w:bCs/>
          <w:sz w:val="18"/>
          <w:szCs w:val="18"/>
        </w:rPr>
        <w:t>5.</w:t>
      </w:r>
      <w:r>
        <w:rPr>
          <w:rFonts w:asciiTheme="minorEastAsia" w:hAnsiTheme="minorEastAsia" w:hint="eastAsia"/>
          <w:b/>
          <w:bCs/>
          <w:sz w:val="18"/>
          <w:szCs w:val="18"/>
        </w:rPr>
        <w:t>赎回的</w:t>
      </w:r>
      <w:r>
        <w:rPr>
          <w:rFonts w:asciiTheme="minorEastAsia" w:hAnsiTheme="minorEastAsia"/>
          <w:b/>
          <w:bCs/>
          <w:sz w:val="18"/>
          <w:szCs w:val="18"/>
        </w:rPr>
        <w:t>费用</w:t>
      </w:r>
    </w:p>
    <w:p w:rsidR="0089074A" w:rsidRDefault="00185114">
      <w:pPr>
        <w:spacing w:line="360" w:lineRule="auto"/>
        <w:ind w:firstLineChars="200" w:firstLine="360"/>
        <w:rPr>
          <w:bCs/>
          <w:sz w:val="18"/>
          <w:szCs w:val="18"/>
        </w:rPr>
      </w:pPr>
      <w:r>
        <w:rPr>
          <w:rFonts w:asciiTheme="minorEastAsia" w:hAnsiTheme="minorEastAsia" w:hint="eastAsia"/>
          <w:sz w:val="18"/>
          <w:szCs w:val="18"/>
        </w:rPr>
        <w:t>详见</w:t>
      </w:r>
      <w:r>
        <w:rPr>
          <w:rFonts w:asciiTheme="minorEastAsia" w:eastAsiaTheme="minorEastAsia" w:hAnsiTheme="minorEastAsia" w:hint="eastAsia"/>
          <w:sz w:val="18"/>
          <w:szCs w:val="18"/>
        </w:rPr>
        <w:t>《产品说明书》“第二条</w:t>
      </w:r>
      <w:r>
        <w:rPr>
          <w:rFonts w:asciiTheme="minorEastAsia" w:eastAsiaTheme="minorEastAsia" w:hAnsiTheme="minorEastAsia"/>
          <w:sz w:val="18"/>
          <w:szCs w:val="18"/>
        </w:rPr>
        <w:t xml:space="preserve"> </w:t>
      </w:r>
      <w:r>
        <w:rPr>
          <w:rFonts w:asciiTheme="minorEastAsia" w:eastAsiaTheme="minorEastAsia" w:hAnsiTheme="minorEastAsia" w:hint="eastAsia"/>
          <w:sz w:val="18"/>
          <w:szCs w:val="18"/>
        </w:rPr>
        <w:t>理财产品基本情况”</w:t>
      </w:r>
      <w:r>
        <w:rPr>
          <w:rFonts w:hint="eastAsia"/>
          <w:bCs/>
          <w:sz w:val="18"/>
          <w:szCs w:val="18"/>
        </w:rPr>
        <w:t>。</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hAnsiTheme="minorEastAsia"/>
          <w:b/>
          <w:bCs/>
          <w:color w:val="auto"/>
          <w:sz w:val="18"/>
          <w:szCs w:val="18"/>
        </w:rPr>
        <w:t>6.</w:t>
      </w:r>
      <w:r>
        <w:rPr>
          <w:rFonts w:asciiTheme="minorEastAsia" w:hAnsiTheme="minorEastAsia" w:hint="eastAsia"/>
          <w:b/>
          <w:bCs/>
          <w:color w:val="auto"/>
          <w:sz w:val="18"/>
          <w:szCs w:val="18"/>
        </w:rPr>
        <w:t>赎回</w:t>
      </w:r>
      <w:r>
        <w:rPr>
          <w:rFonts w:asciiTheme="minorEastAsia" w:hAnsiTheme="minorEastAsia" w:hint="eastAsia"/>
          <w:b/>
          <w:bCs/>
          <w:sz w:val="18"/>
          <w:szCs w:val="18"/>
        </w:rPr>
        <w:t>金额计算</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本产品赎回</w:t>
      </w:r>
      <w:r>
        <w:rPr>
          <w:rFonts w:asciiTheme="minorEastAsia" w:hAnsiTheme="minorEastAsia"/>
          <w:bCs/>
          <w:color w:val="auto"/>
          <w:sz w:val="18"/>
          <w:szCs w:val="18"/>
        </w:rPr>
        <w:t>金额</w:t>
      </w:r>
      <w:r>
        <w:rPr>
          <w:rFonts w:asciiTheme="minorEastAsia" w:hAnsiTheme="minorEastAsia" w:hint="eastAsia"/>
          <w:bCs/>
          <w:color w:val="auto"/>
          <w:sz w:val="18"/>
          <w:szCs w:val="18"/>
        </w:rPr>
        <w:t>的计算公式如下：</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赎回总金额</w:t>
      </w:r>
      <w:r>
        <w:rPr>
          <w:rFonts w:asciiTheme="majorEastAsia" w:eastAsiaTheme="majorEastAsia" w:hAnsiTheme="majorEastAsia"/>
          <w:color w:val="auto"/>
          <w:sz w:val="18"/>
          <w:szCs w:val="18"/>
        </w:rPr>
        <w:t>=赎回份额×赎回日该产品份额净值</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赎回费用</w:t>
      </w:r>
      <w:r>
        <w:rPr>
          <w:rFonts w:asciiTheme="majorEastAsia" w:eastAsiaTheme="majorEastAsia" w:hAnsiTheme="majorEastAsia"/>
          <w:color w:val="auto"/>
          <w:sz w:val="18"/>
          <w:szCs w:val="18"/>
        </w:rPr>
        <w:t>=赎回总金额×赎回费率</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净赎回金额</w:t>
      </w:r>
      <w:r>
        <w:rPr>
          <w:rFonts w:asciiTheme="majorEastAsia" w:eastAsiaTheme="majorEastAsia" w:hAnsiTheme="majorEastAsia"/>
          <w:color w:val="auto"/>
          <w:sz w:val="18"/>
          <w:szCs w:val="18"/>
        </w:rPr>
        <w:t>=赎回总金额-赎回费用</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上述计算结果均按四舍五入方法，保留到小数点后</w:t>
      </w: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位，由此产生的收益或损失由理财产品承担。</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7.</w:t>
      </w:r>
      <w:r>
        <w:rPr>
          <w:rFonts w:asciiTheme="minorEastAsia" w:hAnsiTheme="minorEastAsia" w:hint="eastAsia"/>
          <w:b/>
          <w:bCs/>
          <w:color w:val="auto"/>
          <w:sz w:val="18"/>
          <w:szCs w:val="18"/>
        </w:rPr>
        <w:t>赎回</w:t>
      </w:r>
      <w:r>
        <w:rPr>
          <w:rFonts w:asciiTheme="minorEastAsia" w:eastAsiaTheme="minorEastAsia" w:hAnsiTheme="minorEastAsia"/>
          <w:b/>
          <w:color w:val="auto"/>
          <w:sz w:val="18"/>
          <w:szCs w:val="18"/>
        </w:rPr>
        <w:t>的数量限制</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w:t>
      </w:r>
      <w:r>
        <w:rPr>
          <w:rFonts w:asciiTheme="minorEastAsia" w:eastAsiaTheme="minorEastAsia" w:hAnsiTheme="minorEastAsia"/>
          <w:color w:val="auto"/>
          <w:sz w:val="18"/>
          <w:szCs w:val="18"/>
        </w:rPr>
        <w:t xml:space="preserve"> </w:t>
      </w:r>
      <w:r>
        <w:rPr>
          <w:rFonts w:asciiTheme="minorEastAsia" w:eastAsiaTheme="minorEastAsia" w:hAnsiTheme="minorEastAsia" w:hint="eastAsia"/>
          <w:color w:val="auto"/>
          <w:sz w:val="18"/>
          <w:szCs w:val="18"/>
        </w:rPr>
        <w:t>理财产品基本情况”。</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inorEastAsia" w:eastAsiaTheme="minorEastAsia" w:hAnsiTheme="minorEastAsia" w:hint="eastAsia"/>
          <w:b/>
          <w:color w:val="auto"/>
          <w:sz w:val="18"/>
          <w:szCs w:val="18"/>
        </w:rPr>
        <w:t>（三）</w:t>
      </w:r>
      <w:r>
        <w:rPr>
          <w:rFonts w:asciiTheme="majorEastAsia" w:eastAsiaTheme="majorEastAsia" w:hAnsiTheme="majorEastAsia" w:hint="eastAsia"/>
          <w:b/>
          <w:color w:val="auto"/>
          <w:sz w:val="18"/>
          <w:szCs w:val="18"/>
        </w:rPr>
        <w:t>申购与赎回的原则</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金额申购、份额赎回</w:t>
      </w:r>
      <w:r>
        <w:rPr>
          <w:rFonts w:asciiTheme="majorEastAsia" w:eastAsiaTheme="majorEastAsia" w:hAnsiTheme="majorEastAsia"/>
          <w:color w:val="auto"/>
          <w:sz w:val="18"/>
          <w:szCs w:val="18"/>
        </w:rPr>
        <w:t>”</w:t>
      </w:r>
      <w:r>
        <w:rPr>
          <w:rFonts w:asciiTheme="majorEastAsia" w:eastAsiaTheme="majorEastAsia" w:hAnsiTheme="majorEastAsia" w:hint="eastAsia"/>
          <w:color w:val="auto"/>
          <w:sz w:val="18"/>
          <w:szCs w:val="18"/>
        </w:rPr>
        <w:t>原则，即申购以金额申请，赎回以份额申请。</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bCs/>
          <w:color w:val="auto"/>
          <w:sz w:val="18"/>
          <w:szCs w:val="18"/>
        </w:rPr>
        <w:t>申购和赎回采用“</w:t>
      </w:r>
      <w:r>
        <w:rPr>
          <w:rFonts w:asciiTheme="majorEastAsia" w:eastAsiaTheme="majorEastAsia" w:hAnsiTheme="majorEastAsia" w:hint="eastAsia"/>
          <w:bCs/>
          <w:color w:val="auto"/>
          <w:sz w:val="18"/>
          <w:szCs w:val="18"/>
        </w:rPr>
        <w:t>未知价</w:t>
      </w:r>
      <w:r>
        <w:rPr>
          <w:rFonts w:asciiTheme="majorEastAsia" w:eastAsiaTheme="majorEastAsia" w:hAnsiTheme="majorEastAsia"/>
          <w:bCs/>
          <w:color w:val="auto"/>
          <w:sz w:val="18"/>
          <w:szCs w:val="18"/>
        </w:rPr>
        <w:t>”</w:t>
      </w:r>
      <w:r>
        <w:rPr>
          <w:rFonts w:asciiTheme="majorEastAsia" w:eastAsiaTheme="majorEastAsia" w:hAnsiTheme="majorEastAsia" w:hint="eastAsia"/>
          <w:bCs/>
          <w:color w:val="auto"/>
          <w:sz w:val="18"/>
          <w:szCs w:val="18"/>
        </w:rPr>
        <w:t>原则，即本产品申购申请和赎回申请提交时，适用的产品份额净值都是未知的。</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lastRenderedPageBreak/>
        <w:t>3.申购、</w:t>
      </w:r>
      <w:r>
        <w:rPr>
          <w:rFonts w:asciiTheme="majorEastAsia" w:eastAsiaTheme="majorEastAsia" w:hAnsiTheme="majorEastAsia" w:hint="eastAsia"/>
          <w:color w:val="auto"/>
          <w:sz w:val="18"/>
          <w:szCs w:val="18"/>
        </w:rPr>
        <w:t>赎回</w:t>
      </w:r>
      <w:r>
        <w:rPr>
          <w:rFonts w:asciiTheme="majorEastAsia" w:eastAsiaTheme="majorEastAsia" w:hAnsiTheme="majorEastAsia"/>
          <w:color w:val="auto"/>
          <w:sz w:val="18"/>
          <w:szCs w:val="18"/>
        </w:rPr>
        <w:t>申请可以在对应申购</w:t>
      </w:r>
      <w:r>
        <w:rPr>
          <w:rFonts w:asciiTheme="majorEastAsia" w:eastAsiaTheme="majorEastAsia" w:hAnsiTheme="majorEastAsia" w:hint="eastAsia"/>
          <w:color w:val="auto"/>
          <w:sz w:val="18"/>
          <w:szCs w:val="18"/>
        </w:rPr>
        <w:t>日、</w:t>
      </w:r>
      <w:r>
        <w:rPr>
          <w:rFonts w:asciiTheme="majorEastAsia" w:eastAsiaTheme="majorEastAsia" w:hAnsiTheme="majorEastAsia"/>
          <w:color w:val="auto"/>
          <w:sz w:val="18"/>
          <w:szCs w:val="18"/>
        </w:rPr>
        <w:t>赎回</w:t>
      </w:r>
      <w:r>
        <w:rPr>
          <w:rFonts w:asciiTheme="majorEastAsia" w:eastAsiaTheme="majorEastAsia" w:hAnsiTheme="majorEastAsia" w:hint="eastAsia"/>
          <w:color w:val="auto"/>
          <w:sz w:val="18"/>
          <w:szCs w:val="18"/>
        </w:rPr>
        <w:t>日交易时间截止</w:t>
      </w:r>
      <w:r>
        <w:rPr>
          <w:rFonts w:asciiTheme="majorEastAsia" w:eastAsiaTheme="majorEastAsia" w:hAnsiTheme="majorEastAsia"/>
          <w:color w:val="auto"/>
          <w:sz w:val="18"/>
          <w:szCs w:val="18"/>
        </w:rPr>
        <w:t>前撤销，最终申</w:t>
      </w:r>
      <w:r>
        <w:rPr>
          <w:rFonts w:asciiTheme="majorEastAsia" w:eastAsiaTheme="majorEastAsia" w:hAnsiTheme="majorEastAsia" w:hint="eastAsia"/>
          <w:color w:val="auto"/>
          <w:sz w:val="18"/>
          <w:szCs w:val="18"/>
        </w:rPr>
        <w:t>请</w:t>
      </w:r>
      <w:r>
        <w:rPr>
          <w:rFonts w:asciiTheme="majorEastAsia" w:eastAsiaTheme="majorEastAsia" w:hAnsiTheme="majorEastAsia"/>
          <w:color w:val="auto"/>
          <w:sz w:val="18"/>
          <w:szCs w:val="18"/>
        </w:rPr>
        <w:t>确认情况以投资者在</w:t>
      </w:r>
      <w:r>
        <w:rPr>
          <w:rFonts w:asciiTheme="majorEastAsia" w:eastAsiaTheme="majorEastAsia" w:hAnsiTheme="majorEastAsia" w:hint="eastAsia"/>
          <w:color w:val="auto"/>
          <w:sz w:val="18"/>
          <w:szCs w:val="18"/>
        </w:rPr>
        <w:t>销售机构线下渠道</w:t>
      </w:r>
      <w:r>
        <w:rPr>
          <w:rFonts w:asciiTheme="majorEastAsia" w:eastAsiaTheme="majorEastAsia" w:hAnsiTheme="majorEastAsia"/>
          <w:color w:val="auto"/>
          <w:sz w:val="18"/>
          <w:szCs w:val="18"/>
        </w:rPr>
        <w:t>或线上渠道确认的结果为准。</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4.</w:t>
      </w:r>
      <w:r>
        <w:rPr>
          <w:rFonts w:asciiTheme="majorEastAsia" w:eastAsiaTheme="majorEastAsia" w:hAnsiTheme="majorEastAsia" w:hint="eastAsia"/>
          <w:color w:val="auto"/>
          <w:sz w:val="18"/>
          <w:szCs w:val="18"/>
        </w:rPr>
        <w:t>赎回遵循“先进先出”原则，即按照投资者认购、申购的先后次序进行顺序赎回。</w:t>
      </w:r>
    </w:p>
    <w:p w:rsidR="0089074A" w:rsidRDefault="00185114">
      <w:pPr>
        <w:spacing w:line="360" w:lineRule="auto"/>
        <w:ind w:firstLineChars="150" w:firstLine="271"/>
        <w:rPr>
          <w:rFonts w:asciiTheme="minorEastAsia" w:eastAsiaTheme="minorEastAsia" w:hAnsiTheme="minorEastAsia"/>
          <w:b/>
          <w:sz w:val="18"/>
          <w:szCs w:val="18"/>
        </w:rPr>
      </w:pPr>
      <w:r>
        <w:rPr>
          <w:rFonts w:asciiTheme="minorEastAsia" w:eastAsiaTheme="minorEastAsia" w:hAnsiTheme="minorEastAsia" w:hint="eastAsia"/>
          <w:b/>
          <w:sz w:val="18"/>
          <w:szCs w:val="18"/>
        </w:rPr>
        <w:t>（四）拒绝或暂停申购的情形</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发生下列情况时，产品管理人可拒绝或暂停接受投资者的</w:t>
      </w:r>
      <w:r>
        <w:rPr>
          <w:rFonts w:asciiTheme="majorEastAsia" w:eastAsiaTheme="majorEastAsia" w:hAnsiTheme="majorEastAsia"/>
          <w:color w:val="auto"/>
          <w:sz w:val="18"/>
          <w:szCs w:val="18"/>
        </w:rPr>
        <w:t>申购申请：</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.因不可抗力导致理财产品无法正常运作。</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.发生暂停理财资产估值情况时，产品管理人可暂停接受投资者的申购申请。</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.证券交易所或银行间市场在交易时间非正常停市，导致产品管理人无法计算当日理财资产净值。</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4</w:t>
      </w:r>
      <w:r>
        <w:rPr>
          <w:rFonts w:asciiTheme="majorEastAsia" w:eastAsiaTheme="majorEastAsia" w:hAnsiTheme="majorEastAsia" w:hint="eastAsia"/>
          <w:color w:val="auto"/>
          <w:sz w:val="18"/>
          <w:szCs w:val="18"/>
        </w:rPr>
        <w:t>.本产品出现当日净收益小于零的情形，为保护持有人的权益，产品管理人可暂停本产品的申购。</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5</w:t>
      </w:r>
      <w:r>
        <w:rPr>
          <w:rFonts w:asciiTheme="majorEastAsia" w:eastAsiaTheme="majorEastAsia" w:hAnsiTheme="majorEastAsia" w:hint="eastAsia"/>
          <w:color w:val="auto"/>
          <w:sz w:val="18"/>
          <w:szCs w:val="18"/>
        </w:rPr>
        <w:t>.产品管理人认为接受某笔或某些申购申请可能会影响或损害现有理财份额持有人权益时。</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6</w:t>
      </w:r>
      <w:r>
        <w:rPr>
          <w:rFonts w:asciiTheme="majorEastAsia" w:eastAsiaTheme="majorEastAsia" w:hAnsiTheme="majorEastAsia" w:hint="eastAsia"/>
          <w:color w:val="auto"/>
          <w:sz w:val="18"/>
          <w:szCs w:val="18"/>
        </w:rPr>
        <w:t>.理财产品规模过大，产品管理人无法找到合适的投资品种，或其他可能对理财业绩产生负面影响，从而损害现有理财份额持有人权益的情形。</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7</w:t>
      </w:r>
      <w:r>
        <w:rPr>
          <w:rFonts w:asciiTheme="majorEastAsia" w:eastAsiaTheme="majorEastAsia" w:hAnsiTheme="majorEastAsia" w:hint="eastAsia"/>
          <w:color w:val="auto"/>
          <w:sz w:val="18"/>
          <w:szCs w:val="18"/>
        </w:rPr>
        <w:t>.产品管理人和产品托管人的技术保障等异常情况导致理财销售系统或会计系统无法正常运行。</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8</w:t>
      </w:r>
      <w:r>
        <w:rPr>
          <w:rFonts w:asciiTheme="majorEastAsia" w:eastAsiaTheme="majorEastAsia" w:hAnsiTheme="majorEastAsia" w:hint="eastAsia"/>
          <w:color w:val="auto"/>
          <w:sz w:val="18"/>
          <w:szCs w:val="18"/>
        </w:rPr>
        <w:t>.法律法规规定或监管机构认定的其他情形。</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如果投资者的申购申请被拒绝，被拒绝的申购款项将退还给投资者。在暂停申购的情况消除时，产品管理人应及时恢复申购业务的办理。</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（五）暂停赎回或延缓支付赎回款项的情形</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发生下列情形时，产品管理人可暂停接受投资者的赎回申请或延缓支付赎回款项：</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.因不可抗力导致产品管理人不能支付赎回款项。</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.发生暂停理财资产估值情况时，产品管理人可暂停接受投资者的赎回申请或延缓支付赎回款项。</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.证券交易所或银行间市场在交易时间非正常停市，导致产品管理人无法计算当日理财资产净值。</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4</w:t>
      </w:r>
      <w:r>
        <w:rPr>
          <w:rFonts w:asciiTheme="majorEastAsia" w:eastAsiaTheme="majorEastAsia" w:hAnsiTheme="majorEastAsia" w:hint="eastAsia"/>
          <w:color w:val="auto"/>
          <w:sz w:val="18"/>
          <w:szCs w:val="18"/>
        </w:rPr>
        <w:t>.</w:t>
      </w:r>
      <w:r>
        <w:rPr>
          <w:rFonts w:asciiTheme="majorEastAsia" w:eastAsiaTheme="majorEastAsia" w:hAnsiTheme="majorEastAsia"/>
          <w:color w:val="auto"/>
          <w:sz w:val="18"/>
          <w:szCs w:val="18"/>
        </w:rPr>
        <w:t>证券交易所或银行间市场出现异常市场情况，管理人无法</w:t>
      </w:r>
      <w:r>
        <w:rPr>
          <w:rFonts w:asciiTheme="majorEastAsia" w:eastAsiaTheme="majorEastAsia" w:hAnsiTheme="majorEastAsia" w:hint="eastAsia"/>
          <w:color w:val="auto"/>
          <w:sz w:val="18"/>
          <w:szCs w:val="18"/>
        </w:rPr>
        <w:t>开展产品的</w:t>
      </w:r>
      <w:r>
        <w:rPr>
          <w:rFonts w:asciiTheme="majorEastAsia" w:eastAsiaTheme="majorEastAsia" w:hAnsiTheme="majorEastAsia"/>
          <w:color w:val="auto"/>
          <w:sz w:val="18"/>
          <w:szCs w:val="18"/>
        </w:rPr>
        <w:t>流动性</w:t>
      </w:r>
      <w:r>
        <w:rPr>
          <w:rFonts w:asciiTheme="majorEastAsia" w:eastAsiaTheme="majorEastAsia" w:hAnsiTheme="majorEastAsia" w:hint="eastAsia"/>
          <w:color w:val="auto"/>
          <w:sz w:val="18"/>
          <w:szCs w:val="18"/>
        </w:rPr>
        <w:t>管理</w:t>
      </w:r>
      <w:r>
        <w:rPr>
          <w:rFonts w:asciiTheme="majorEastAsia" w:eastAsiaTheme="majorEastAsia" w:hAnsiTheme="majorEastAsia"/>
          <w:color w:val="auto"/>
          <w:sz w:val="18"/>
          <w:szCs w:val="18"/>
        </w:rPr>
        <w:t>。</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5</w:t>
      </w:r>
      <w:r>
        <w:rPr>
          <w:rFonts w:asciiTheme="majorEastAsia" w:eastAsiaTheme="majorEastAsia" w:hAnsiTheme="majorEastAsia" w:hint="eastAsia"/>
          <w:color w:val="auto"/>
          <w:sz w:val="18"/>
          <w:szCs w:val="18"/>
        </w:rPr>
        <w:t>.本产品出现当日净收益小于零的情形，为保护持有人的权益，产品管理人可暂停本产品的赎回。</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6</w:t>
      </w:r>
      <w:r>
        <w:rPr>
          <w:rFonts w:asciiTheme="majorEastAsia" w:eastAsiaTheme="majorEastAsia" w:hAnsiTheme="majorEastAsia" w:hint="eastAsia"/>
          <w:color w:val="auto"/>
          <w:sz w:val="18"/>
          <w:szCs w:val="18"/>
        </w:rPr>
        <w:t>.发生单个投资者在赎回日申请赎回的理财产品份额超过限额的。</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7.发生巨额赎回。</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8.产品管理人和产品托管人的技术保障等异常情况导致理财销售系统或会计系统无法正常运行。</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9.证券交易所或银行间市场数据传输延迟、通讯系统故障、银行系统故障或其他非产品管理人及产品托管人所能控制的因素影响了产品运作流程。</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10.法律法规规定或监管机构认定的其他情形。</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bCs/>
          <w:sz w:val="18"/>
          <w:szCs w:val="18"/>
        </w:rPr>
        <w:t>延缓支付赎回款项</w:t>
      </w:r>
      <w:r>
        <w:rPr>
          <w:rFonts w:asciiTheme="majorEastAsia" w:eastAsiaTheme="majorEastAsia" w:hAnsiTheme="majorEastAsia" w:hint="eastAsia"/>
          <w:bCs/>
          <w:sz w:val="18"/>
          <w:szCs w:val="18"/>
        </w:rPr>
        <w:t>的</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已经确认</w:t>
      </w:r>
      <w:r>
        <w:rPr>
          <w:rFonts w:asciiTheme="majorEastAsia" w:eastAsiaTheme="majorEastAsia" w:hAnsiTheme="majorEastAsia"/>
          <w:bCs/>
          <w:sz w:val="18"/>
          <w:szCs w:val="18"/>
        </w:rPr>
        <w:t>的赎回申请的</w:t>
      </w:r>
      <w:r>
        <w:rPr>
          <w:rFonts w:asciiTheme="majorEastAsia" w:eastAsiaTheme="majorEastAsia" w:hAnsiTheme="majorEastAsia" w:hint="eastAsia"/>
          <w:bCs/>
          <w:sz w:val="18"/>
          <w:szCs w:val="18"/>
        </w:rPr>
        <w:t>相应赎回</w:t>
      </w:r>
      <w:r>
        <w:rPr>
          <w:rFonts w:asciiTheme="majorEastAsia" w:eastAsiaTheme="majorEastAsia" w:hAnsiTheme="majorEastAsia"/>
          <w:bCs/>
          <w:sz w:val="18"/>
          <w:szCs w:val="18"/>
        </w:rPr>
        <w:t>款项将会在不超过20个工作日内支付</w:t>
      </w:r>
      <w:r>
        <w:rPr>
          <w:rFonts w:asciiTheme="majorEastAsia" w:eastAsiaTheme="majorEastAsia" w:hAnsiTheme="majorEastAsia" w:hint="eastAsia"/>
          <w:bCs/>
          <w:sz w:val="18"/>
          <w:szCs w:val="18"/>
        </w:rPr>
        <w:t>至</w:t>
      </w:r>
      <w:r>
        <w:rPr>
          <w:rFonts w:asciiTheme="majorEastAsia" w:eastAsiaTheme="majorEastAsia" w:hAnsiTheme="majorEastAsia"/>
          <w:bCs/>
          <w:sz w:val="18"/>
          <w:szCs w:val="18"/>
        </w:rPr>
        <w:t>投资</w:t>
      </w:r>
      <w:r>
        <w:rPr>
          <w:rFonts w:asciiTheme="majorEastAsia" w:eastAsiaTheme="majorEastAsia" w:hAnsiTheme="majorEastAsia"/>
          <w:bCs/>
          <w:sz w:val="18"/>
          <w:szCs w:val="18"/>
        </w:rPr>
        <w:lastRenderedPageBreak/>
        <w:t>者</w:t>
      </w:r>
      <w:r>
        <w:rPr>
          <w:rFonts w:asciiTheme="majorEastAsia" w:eastAsiaTheme="majorEastAsia" w:hAnsiTheme="majorEastAsia" w:hint="eastAsia"/>
          <w:bCs/>
          <w:sz w:val="18"/>
          <w:szCs w:val="18"/>
        </w:rPr>
        <w:t>。</w:t>
      </w:r>
      <w:r>
        <w:rPr>
          <w:rFonts w:asciiTheme="majorEastAsia" w:eastAsiaTheme="majorEastAsia" w:hAnsiTheme="majorEastAsia" w:hint="eastAsia"/>
          <w:color w:val="auto"/>
          <w:sz w:val="18"/>
          <w:szCs w:val="18"/>
        </w:rPr>
        <w:t>在暂停赎回或延缓支付赎回款项的情况消除时，产品管理人应及时恢复赎回或支付业务赎回款项的办理。</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（六）巨额赎回的情形及</w:t>
      </w:r>
      <w:r>
        <w:rPr>
          <w:rFonts w:asciiTheme="majorEastAsia" w:eastAsiaTheme="majorEastAsia" w:hAnsiTheme="majorEastAsia"/>
          <w:b/>
          <w:color w:val="auto"/>
          <w:sz w:val="18"/>
          <w:szCs w:val="18"/>
        </w:rPr>
        <w:t>处理方式</w:t>
      </w:r>
    </w:p>
    <w:p w:rsidR="0089074A" w:rsidRDefault="00185114">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巨额赎回的认定</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详见《产品说明书》“第二条 理财产品基本情况”。</w:t>
      </w:r>
    </w:p>
    <w:p w:rsidR="0089074A" w:rsidRDefault="00185114">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巨额赎回的处理方式</w:t>
      </w:r>
    </w:p>
    <w:p w:rsidR="0089074A" w:rsidRDefault="00185114">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出现巨额赎回时，产品管理人有权决定：（1）</w:t>
      </w:r>
      <w:r>
        <w:rPr>
          <w:rFonts w:asciiTheme="majorEastAsia" w:eastAsiaTheme="majorEastAsia" w:hAnsiTheme="majorEastAsia"/>
          <w:bCs/>
          <w:sz w:val="18"/>
          <w:szCs w:val="18"/>
        </w:rPr>
        <w:t>不接受</w:t>
      </w:r>
      <w:r>
        <w:rPr>
          <w:rFonts w:asciiTheme="majorEastAsia" w:eastAsiaTheme="majorEastAsia" w:hAnsiTheme="majorEastAsia" w:hint="eastAsia"/>
          <w:bCs/>
          <w:sz w:val="18"/>
          <w:szCs w:val="18"/>
        </w:rPr>
        <w:t>超出部分的净赎回申请，但投资者可于下一开放日重新进行赎回申请；（</w:t>
      </w:r>
      <w:r>
        <w:rPr>
          <w:rFonts w:asciiTheme="majorEastAsia" w:eastAsiaTheme="majorEastAsia" w:hAnsiTheme="majorEastAsia"/>
          <w:bCs/>
          <w:sz w:val="18"/>
          <w:szCs w:val="18"/>
        </w:rPr>
        <w:t>2）延缓支付赎回款项</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如产品管理人认为有必要，</w:t>
      </w:r>
      <w:r>
        <w:rPr>
          <w:rFonts w:asciiTheme="majorEastAsia" w:eastAsiaTheme="majorEastAsia" w:hAnsiTheme="majorEastAsia" w:hint="eastAsia"/>
          <w:bCs/>
          <w:sz w:val="18"/>
          <w:szCs w:val="18"/>
        </w:rPr>
        <w:t>针对</w:t>
      </w:r>
      <w:r>
        <w:rPr>
          <w:rFonts w:asciiTheme="majorEastAsia" w:eastAsiaTheme="majorEastAsia" w:hAnsiTheme="majorEastAsia"/>
          <w:bCs/>
          <w:sz w:val="18"/>
          <w:szCs w:val="18"/>
        </w:rPr>
        <w:t>已经</w:t>
      </w:r>
      <w:r>
        <w:rPr>
          <w:rFonts w:asciiTheme="majorEastAsia" w:eastAsiaTheme="majorEastAsia" w:hAnsiTheme="majorEastAsia" w:hint="eastAsia"/>
          <w:bCs/>
          <w:sz w:val="18"/>
          <w:szCs w:val="18"/>
        </w:rPr>
        <w:t>确认</w:t>
      </w:r>
      <w:r>
        <w:rPr>
          <w:rFonts w:asciiTheme="majorEastAsia" w:eastAsiaTheme="majorEastAsia" w:hAnsiTheme="majorEastAsia"/>
          <w:bCs/>
          <w:sz w:val="18"/>
          <w:szCs w:val="18"/>
        </w:rPr>
        <w:t>的赎回申请</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可以延缓支付赎回款项。延缓支付赎回款项</w:t>
      </w:r>
      <w:r>
        <w:rPr>
          <w:rFonts w:asciiTheme="majorEastAsia" w:eastAsiaTheme="majorEastAsia" w:hAnsiTheme="majorEastAsia" w:hint="eastAsia"/>
          <w:bCs/>
          <w:sz w:val="18"/>
          <w:szCs w:val="18"/>
        </w:rPr>
        <w:t>的</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已经确认</w:t>
      </w:r>
      <w:r>
        <w:rPr>
          <w:rFonts w:asciiTheme="majorEastAsia" w:eastAsiaTheme="majorEastAsia" w:hAnsiTheme="majorEastAsia"/>
          <w:bCs/>
          <w:sz w:val="18"/>
          <w:szCs w:val="18"/>
        </w:rPr>
        <w:t>的赎回申请的</w:t>
      </w:r>
      <w:r>
        <w:rPr>
          <w:rFonts w:asciiTheme="majorEastAsia" w:eastAsiaTheme="majorEastAsia" w:hAnsiTheme="majorEastAsia" w:hint="eastAsia"/>
          <w:bCs/>
          <w:sz w:val="18"/>
          <w:szCs w:val="18"/>
        </w:rPr>
        <w:t>相应赎回</w:t>
      </w:r>
      <w:r>
        <w:rPr>
          <w:rFonts w:asciiTheme="majorEastAsia" w:eastAsiaTheme="majorEastAsia" w:hAnsiTheme="majorEastAsia"/>
          <w:bCs/>
          <w:sz w:val="18"/>
          <w:szCs w:val="18"/>
        </w:rPr>
        <w:t>款项将会在不超过20个工作日内支付</w:t>
      </w:r>
      <w:r>
        <w:rPr>
          <w:rFonts w:asciiTheme="majorEastAsia" w:eastAsiaTheme="majorEastAsia" w:hAnsiTheme="majorEastAsia" w:hint="eastAsia"/>
          <w:bCs/>
          <w:sz w:val="18"/>
          <w:szCs w:val="18"/>
        </w:rPr>
        <w:t>至</w:t>
      </w:r>
      <w:r>
        <w:rPr>
          <w:rFonts w:asciiTheme="majorEastAsia" w:eastAsiaTheme="majorEastAsia" w:hAnsiTheme="majorEastAsia"/>
          <w:bCs/>
          <w:sz w:val="18"/>
          <w:szCs w:val="18"/>
        </w:rPr>
        <w:t>投资者</w:t>
      </w:r>
      <w:r>
        <w:rPr>
          <w:rFonts w:asciiTheme="majorEastAsia" w:eastAsiaTheme="majorEastAsia" w:hAnsiTheme="majorEastAsia" w:hint="eastAsia"/>
          <w:bCs/>
          <w:sz w:val="18"/>
          <w:szCs w:val="18"/>
        </w:rPr>
        <w:t>。</w:t>
      </w:r>
      <w:r>
        <w:rPr>
          <w:rFonts w:asciiTheme="minorEastAsia" w:hAnsiTheme="minorEastAsia" w:hint="eastAsia"/>
          <w:bCs/>
          <w:sz w:val="18"/>
          <w:szCs w:val="18"/>
        </w:rPr>
        <w:t>（</w:t>
      </w:r>
      <w:r>
        <w:rPr>
          <w:rFonts w:asciiTheme="minorEastAsia" w:hAnsiTheme="minorEastAsia"/>
          <w:bCs/>
          <w:sz w:val="18"/>
          <w:szCs w:val="18"/>
        </w:rPr>
        <w:t>3</w:t>
      </w:r>
      <w:r>
        <w:rPr>
          <w:rFonts w:asciiTheme="minorEastAsia" w:hAnsiTheme="minorEastAsia" w:hint="eastAsia"/>
          <w:bCs/>
          <w:sz w:val="18"/>
          <w:szCs w:val="18"/>
        </w:rPr>
        <w:t>）理财产品连续两个开放日（含）发生因巨额赎回导致拒绝赎回情况的，产品管理人可暂停接受投资者的赎回申请。投资者根据产品管理人披露的开放日可重新进行申购和赎回。</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4</w:t>
      </w:r>
      <w:r>
        <w:rPr>
          <w:rFonts w:asciiTheme="majorEastAsia" w:eastAsiaTheme="majorEastAsia" w:hAnsiTheme="majorEastAsia" w:hint="eastAsia"/>
          <w:bCs/>
          <w:sz w:val="18"/>
          <w:szCs w:val="18"/>
        </w:rPr>
        <w:t>）法律法规规定或监管机构规定的其他措施。</w:t>
      </w:r>
    </w:p>
    <w:p w:rsidR="0089074A" w:rsidRDefault="00185114">
      <w:pPr>
        <w:widowControl/>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巨额赎回的公告</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在发生巨额赎回产品管理人暂停接受投资者赎回申请时，产品管理人将依约定发布相关公告信息。</w:t>
      </w:r>
    </w:p>
    <w:p w:rsidR="0089074A" w:rsidRDefault="00185114">
      <w:pPr>
        <w:pStyle w:val="Default"/>
        <w:spacing w:line="360" w:lineRule="auto"/>
        <w:ind w:leftChars="100" w:left="210" w:firstLineChars="100" w:firstLine="181"/>
        <w:rPr>
          <w:rFonts w:asciiTheme="majorEastAsia" w:eastAsiaTheme="majorEastAsia" w:hAnsiTheme="majorEastAsia"/>
          <w:color w:val="auto"/>
          <w:sz w:val="18"/>
          <w:szCs w:val="18"/>
        </w:rPr>
      </w:pPr>
      <w:r>
        <w:rPr>
          <w:rFonts w:asciiTheme="majorEastAsia" w:eastAsiaTheme="majorEastAsia" w:hAnsiTheme="majorEastAsia" w:hint="eastAsia"/>
          <w:b/>
          <w:color w:val="auto"/>
          <w:sz w:val="18"/>
          <w:szCs w:val="18"/>
        </w:rPr>
        <w:t>（七）日期遇非工作日的调整</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hint="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rsidR="0089074A" w:rsidRDefault="00185114">
      <w:pPr>
        <w:pStyle w:val="Default"/>
        <w:spacing w:line="360" w:lineRule="auto"/>
        <w:ind w:firstLineChars="200" w:firstLine="361"/>
        <w:rPr>
          <w:rFonts w:asciiTheme="minorEastAsia" w:hAnsiTheme="minorEastAsia"/>
          <w:b/>
          <w:bCs/>
          <w:color w:val="auto"/>
          <w:sz w:val="18"/>
          <w:szCs w:val="18"/>
        </w:rPr>
      </w:pPr>
      <w:r>
        <w:rPr>
          <w:rFonts w:asciiTheme="minorEastAsia" w:hAnsiTheme="minorEastAsia" w:hint="eastAsia"/>
          <w:b/>
          <w:bCs/>
          <w:color w:val="auto"/>
          <w:sz w:val="18"/>
          <w:szCs w:val="18"/>
        </w:rPr>
        <w:t>（八）投资者持有理财份额的限额和理财产品总规模限额</w:t>
      </w:r>
    </w:p>
    <w:p w:rsidR="0089074A" w:rsidRDefault="00185114">
      <w:pPr>
        <w:pStyle w:val="Default"/>
        <w:spacing w:line="360" w:lineRule="auto"/>
        <w:ind w:firstLineChars="200" w:firstLine="360"/>
        <w:rPr>
          <w:rFonts w:asciiTheme="minorEastAsia" w:hAnsiTheme="minorEastAsia"/>
          <w:bCs/>
          <w:color w:val="auto"/>
          <w:sz w:val="18"/>
          <w:szCs w:val="18"/>
        </w:rPr>
      </w:pPr>
      <w:r>
        <w:rPr>
          <w:rFonts w:asciiTheme="minorEastAsia" w:hAnsiTheme="minorEastAsia" w:hint="eastAsia"/>
          <w:bCs/>
          <w:color w:val="auto"/>
          <w:sz w:val="18"/>
          <w:szCs w:val="18"/>
        </w:rPr>
        <w:t>产品管理人有权决定理财份额持有人持有本产品的最高限额、最低限额和本产品的总规模限额。</w:t>
      </w:r>
    </w:p>
    <w:p w:rsidR="0089074A" w:rsidRDefault="00185114">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p w:rsidR="0089074A" w:rsidRDefault="00185114">
      <w:pPr>
        <w:pStyle w:val="1"/>
        <w:spacing w:before="0" w:after="0" w:line="360" w:lineRule="auto"/>
        <w:jc w:val="center"/>
        <w:rPr>
          <w:rFonts w:ascii="Times New Roman"/>
          <w:sz w:val="30"/>
        </w:rPr>
      </w:pPr>
      <w:bookmarkStart w:id="20" w:name="_Toc79154668"/>
      <w:bookmarkStart w:id="21" w:name="_Toc22074"/>
      <w:bookmarkStart w:id="22" w:name="_Toc29948"/>
      <w:bookmarkStart w:id="23" w:name="_Toc27189"/>
      <w:bookmarkStart w:id="24" w:name="_Toc74065741"/>
      <w:bookmarkStart w:id="25" w:name="_Toc103260532"/>
      <w:bookmarkStart w:id="26" w:name="_Toc90742321"/>
      <w:bookmarkStart w:id="27" w:name="_Toc6714"/>
      <w:bookmarkStart w:id="28" w:name="_Toc7151"/>
      <w:bookmarkStart w:id="29" w:name="_Toc92377134"/>
      <w:bookmarkStart w:id="30" w:name="_Toc29784"/>
      <w:bookmarkStart w:id="31" w:name="_Toc15203"/>
      <w:bookmarkStart w:id="32" w:name="_Toc27226"/>
      <w:bookmarkStart w:id="33" w:name="_Toc16265"/>
      <w:bookmarkStart w:id="34" w:name="_Toc3266"/>
      <w:bookmarkStart w:id="35" w:name="_Toc90742688"/>
      <w:bookmarkStart w:id="36" w:name="_Toc90742390"/>
      <w:bookmarkStart w:id="37" w:name="_Toc24347"/>
      <w:bookmarkEnd w:id="13"/>
      <w:r>
        <w:rPr>
          <w:rFonts w:ascii="Times New Roman"/>
          <w:sz w:val="30"/>
        </w:rPr>
        <w:lastRenderedPageBreak/>
        <w:t>第</w:t>
      </w:r>
      <w:r>
        <w:rPr>
          <w:rFonts w:ascii="Times New Roman" w:hint="eastAsia"/>
          <w:sz w:val="30"/>
        </w:rPr>
        <w:t>五条</w:t>
      </w:r>
      <w:r>
        <w:rPr>
          <w:rFonts w:ascii="Times New Roman"/>
          <w:sz w:val="30"/>
        </w:rPr>
        <w:t xml:space="preserve">  </w:t>
      </w:r>
      <w:r>
        <w:rPr>
          <w:rFonts w:ascii="Times New Roman" w:hint="eastAsia"/>
          <w:sz w:val="30"/>
        </w:rPr>
        <w:t>理财产品的投资</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（一）投资目标</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permStart w:id="390205417" w:edGrp="everyone"/>
      <w:r>
        <w:rPr>
          <w:rFonts w:asciiTheme="majorEastAsia" w:eastAsiaTheme="majorEastAsia" w:hAnsiTheme="majorEastAsia" w:hint="eastAsia"/>
          <w:color w:val="auto"/>
          <w:sz w:val="18"/>
          <w:szCs w:val="18"/>
        </w:rPr>
        <w:t>本产品为</w:t>
      </w:r>
      <w:r>
        <w:rPr>
          <w:rFonts w:asciiTheme="majorEastAsia" w:eastAsiaTheme="majorEastAsia" w:hAnsiTheme="majorEastAsia"/>
          <w:color w:val="auto"/>
          <w:sz w:val="18"/>
          <w:szCs w:val="18"/>
        </w:rPr>
        <w:t>固定收益类产品</w:t>
      </w:r>
      <w:r>
        <w:rPr>
          <w:rFonts w:asciiTheme="majorEastAsia" w:eastAsiaTheme="majorEastAsia" w:hAnsiTheme="majorEastAsia" w:hint="eastAsia"/>
          <w:color w:val="auto"/>
          <w:sz w:val="18"/>
          <w:szCs w:val="18"/>
        </w:rPr>
        <w:t>，在</w:t>
      </w:r>
      <w:r>
        <w:rPr>
          <w:rFonts w:asciiTheme="minorEastAsia" w:eastAsiaTheme="minorEastAsia" w:hAnsiTheme="minorEastAsia" w:hint="eastAsia"/>
          <w:color w:val="auto"/>
          <w:sz w:val="18"/>
          <w:szCs w:val="18"/>
        </w:rPr>
        <w:t>保持理财资产的低风险和高流动性的前提下，力争实现超越业绩比较基准的投资回报。</w:t>
      </w:r>
    </w:p>
    <w:permEnd w:id="390205417"/>
    <w:p w:rsidR="0089074A" w:rsidRDefault="00185114">
      <w:pPr>
        <w:pStyle w:val="Default"/>
        <w:spacing w:line="360" w:lineRule="auto"/>
        <w:ind w:firstLineChars="200" w:firstLine="361"/>
        <w:rPr>
          <w:rFonts w:asciiTheme="majorEastAsia" w:eastAsiaTheme="majorEastAsia" w:hAnsiTheme="majorEastAsia"/>
          <w:bCs/>
          <w:color w:val="auto"/>
          <w:sz w:val="18"/>
          <w:szCs w:val="18"/>
        </w:rPr>
      </w:pPr>
      <w:r>
        <w:rPr>
          <w:rFonts w:asciiTheme="majorEastAsia" w:eastAsiaTheme="majorEastAsia" w:hAnsiTheme="majorEastAsia" w:hint="eastAsia"/>
          <w:b/>
          <w:color w:val="auto"/>
          <w:sz w:val="18"/>
          <w:szCs w:val="18"/>
        </w:rPr>
        <w:t>（二）投资范围和比例</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1.投资</w:t>
      </w:r>
      <w:r>
        <w:rPr>
          <w:rFonts w:asciiTheme="majorEastAsia" w:eastAsiaTheme="majorEastAsia" w:hAnsiTheme="majorEastAsia"/>
          <w:bCs/>
          <w:sz w:val="18"/>
          <w:szCs w:val="18"/>
        </w:rPr>
        <w:t>范围</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本产品</w:t>
      </w:r>
      <w:r>
        <w:rPr>
          <w:rFonts w:asciiTheme="majorEastAsia" w:eastAsiaTheme="majorEastAsia" w:hAnsiTheme="majorEastAsia"/>
          <w:bCs/>
          <w:sz w:val="18"/>
          <w:szCs w:val="18"/>
        </w:rPr>
        <w:t>主要投资范围包括但不限于</w:t>
      </w:r>
      <w:r>
        <w:rPr>
          <w:rFonts w:asciiTheme="majorEastAsia" w:eastAsiaTheme="majorEastAsia" w:hAnsiTheme="majorEastAsia" w:hint="eastAsia"/>
          <w:bCs/>
          <w:sz w:val="18"/>
          <w:szCs w:val="18"/>
        </w:rPr>
        <w:t>（实际投资范围可根据法律法规及监管规定进行调整）</w:t>
      </w:r>
      <w:r>
        <w:rPr>
          <w:rFonts w:asciiTheme="majorEastAsia" w:eastAsiaTheme="majorEastAsia" w:hAnsiTheme="majorEastAsia"/>
          <w:bCs/>
          <w:sz w:val="18"/>
          <w:szCs w:val="18"/>
        </w:rPr>
        <w:t>：</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permStart w:id="1246130542" w:edGrp="everyone"/>
      <w:r>
        <w:rPr>
          <w:rFonts w:asciiTheme="majorEastAsia" w:eastAsiaTheme="majorEastAsia" w:hAnsiTheme="majorEastAsia" w:hint="eastAsia"/>
          <w:bCs/>
          <w:sz w:val="18"/>
          <w:szCs w:val="18"/>
        </w:rPr>
        <w:t>（1）银行存款、债券逆回购、货币基金等货币市场工具及其它银行间和交易所资金融通工具。</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2）国债、金融债、地方政府债、央行票据、同业存单、短期融资券、超短期融资券、中期票据、企业债、公司债、非公开定向债务融资工具、项目收益债、项目收益票据、资产支持证券、次级债等银行间和交易所市场债券及债务融资工具，以及其他固定收益类投资工具等。</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（3）投资于上述资产的符合监管要求的公募基金、基金公司或子公司资产管理计划、证券公司资产管理计划、保险资产管理计划及信托计划等。</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（4）本产品不投资于非标准化债权类资产、不投资于权益类资产、不投资于</w:t>
      </w:r>
      <w:r>
        <w:rPr>
          <w:rFonts w:ascii="宋体" w:hAnsi="宋体" w:hint="eastAsia"/>
          <w:sz w:val="18"/>
          <w:szCs w:val="18"/>
        </w:rPr>
        <w:t>商品和金融衍生品类资产。</w:t>
      </w:r>
    </w:p>
    <w:permEnd w:id="1246130542"/>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.投资组合比例</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permStart w:id="1422928036" w:edGrp="everyone"/>
      <w:r>
        <w:rPr>
          <w:rFonts w:asciiTheme="majorEastAsia" w:eastAsiaTheme="majorEastAsia" w:hAnsiTheme="majorEastAsia" w:hint="eastAsia"/>
          <w:bCs/>
          <w:sz w:val="18"/>
          <w:szCs w:val="18"/>
        </w:rPr>
        <w:t>本产品100%投资于债权类资产。</w:t>
      </w:r>
    </w:p>
    <w:permEnd w:id="1422928036"/>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本产品存续期间，</w:t>
      </w:r>
      <w:r>
        <w:rPr>
          <w:rFonts w:asciiTheme="majorEastAsia" w:eastAsiaTheme="majorEastAsia" w:hAnsiTheme="majorEastAsia" w:hint="eastAsia"/>
          <w:bCs/>
          <w:sz w:val="18"/>
          <w:szCs w:val="18"/>
        </w:rPr>
        <w:t>产品管理人</w:t>
      </w:r>
      <w:r>
        <w:rPr>
          <w:rFonts w:asciiTheme="majorEastAsia" w:eastAsiaTheme="majorEastAsia" w:hAnsiTheme="majorEastAsia"/>
          <w:bCs/>
          <w:sz w:val="18"/>
          <w:szCs w:val="18"/>
        </w:rPr>
        <w:t>将</w:t>
      </w:r>
      <w:r>
        <w:rPr>
          <w:rFonts w:asciiTheme="majorEastAsia" w:eastAsiaTheme="majorEastAsia" w:hAnsiTheme="majorEastAsia" w:hint="eastAsia"/>
          <w:bCs/>
          <w:sz w:val="18"/>
          <w:szCs w:val="18"/>
        </w:rPr>
        <w:t>依约定公告理财投资对象与投资比例。</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bCs/>
          <w:sz w:val="18"/>
          <w:szCs w:val="18"/>
        </w:rPr>
        <w:t>4</w:t>
      </w:r>
      <w:r>
        <w:rPr>
          <w:rFonts w:asciiTheme="majorEastAsia" w:eastAsiaTheme="majorEastAsia" w:hAnsiTheme="majorEastAsia" w:hint="eastAsia"/>
          <w:bCs/>
          <w:sz w:val="18"/>
          <w:szCs w:val="18"/>
        </w:rPr>
        <w:t>.如果法律法规对本销售文件约定投资组合比例限制进行变更的，以变更后的规定为准。</w:t>
      </w:r>
    </w:p>
    <w:p w:rsidR="0089074A" w:rsidRDefault="00185114">
      <w:pPr>
        <w:spacing w:line="360" w:lineRule="auto"/>
        <w:ind w:firstLineChars="200" w:firstLine="361"/>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特别提示：</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产品管理人应当自产品成立日起</w:t>
      </w:r>
      <w:permStart w:id="1492935742" w:edGrp="everyone"/>
      <w:r>
        <w:rPr>
          <w:rFonts w:asciiTheme="majorEastAsia" w:eastAsiaTheme="majorEastAsia" w:hAnsiTheme="majorEastAsia" w:hint="eastAsia"/>
          <w:bCs/>
          <w:sz w:val="18"/>
          <w:szCs w:val="18"/>
        </w:rPr>
        <w:t>【</w:t>
      </w:r>
      <w:r>
        <w:rPr>
          <w:rFonts w:ascii="黑体" w:eastAsia="黑体" w:hAnsi="黑体"/>
          <w:bCs/>
          <w:sz w:val="18"/>
          <w:szCs w:val="18"/>
        </w:rPr>
        <w:t>3】</w:t>
      </w:r>
      <w:r>
        <w:rPr>
          <w:rFonts w:ascii="黑体" w:eastAsia="黑体" w:hAnsi="黑体" w:hint="eastAsia"/>
          <w:bCs/>
          <w:sz w:val="18"/>
          <w:szCs w:val="18"/>
        </w:rPr>
        <w:t>个月</w:t>
      </w:r>
      <w:permEnd w:id="1492935742"/>
      <w:r>
        <w:rPr>
          <w:rFonts w:ascii="黑体" w:eastAsia="黑体" w:hAnsi="黑体" w:hint="eastAsia"/>
          <w:bCs/>
          <w:sz w:val="18"/>
          <w:szCs w:val="18"/>
        </w:rPr>
        <w:t>内</w:t>
      </w:r>
      <w:r>
        <w:rPr>
          <w:rFonts w:asciiTheme="majorEastAsia" w:eastAsiaTheme="majorEastAsia" w:hAnsiTheme="majorEastAsia" w:hint="eastAsia"/>
          <w:bCs/>
          <w:sz w:val="18"/>
          <w:szCs w:val="18"/>
        </w:rPr>
        <w:t>使产品的投资组合比例符合本销售文件的有关约定，</w:t>
      </w:r>
      <w:r>
        <w:rPr>
          <w:rFonts w:asciiTheme="majorEastAsia" w:eastAsiaTheme="majorEastAsia" w:hAnsiTheme="majorEastAsia"/>
          <w:bCs/>
          <w:sz w:val="18"/>
          <w:szCs w:val="18"/>
        </w:rPr>
        <w:t>上述</w:t>
      </w:r>
      <w:r>
        <w:rPr>
          <w:rFonts w:asciiTheme="majorEastAsia" w:eastAsiaTheme="majorEastAsia" w:hAnsiTheme="majorEastAsia" w:hint="eastAsia"/>
          <w:bCs/>
          <w:sz w:val="18"/>
          <w:szCs w:val="18"/>
        </w:rPr>
        <w:t>期间</w:t>
      </w:r>
      <w:r>
        <w:rPr>
          <w:rFonts w:asciiTheme="majorEastAsia" w:eastAsiaTheme="majorEastAsia" w:hAnsiTheme="majorEastAsia"/>
          <w:bCs/>
          <w:sz w:val="18"/>
          <w:szCs w:val="18"/>
        </w:rPr>
        <w:t>内</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本产品的投资</w:t>
      </w:r>
      <w:r>
        <w:rPr>
          <w:rFonts w:asciiTheme="majorEastAsia" w:eastAsiaTheme="majorEastAsia" w:hAnsiTheme="majorEastAsia" w:hint="eastAsia"/>
          <w:bCs/>
          <w:sz w:val="18"/>
          <w:szCs w:val="18"/>
        </w:rPr>
        <w:t>范围、投资</w:t>
      </w:r>
      <w:r>
        <w:rPr>
          <w:rFonts w:asciiTheme="majorEastAsia" w:eastAsiaTheme="majorEastAsia" w:hAnsiTheme="majorEastAsia"/>
          <w:bCs/>
          <w:sz w:val="18"/>
          <w:szCs w:val="18"/>
        </w:rPr>
        <w:t>策略</w:t>
      </w:r>
      <w:r>
        <w:rPr>
          <w:rFonts w:asciiTheme="majorEastAsia" w:eastAsiaTheme="majorEastAsia" w:hAnsiTheme="majorEastAsia" w:hint="eastAsia"/>
          <w:bCs/>
          <w:sz w:val="18"/>
          <w:szCs w:val="18"/>
        </w:rPr>
        <w:t>应当符合本销售文件</w:t>
      </w:r>
      <w:r>
        <w:rPr>
          <w:rFonts w:asciiTheme="majorEastAsia" w:eastAsiaTheme="majorEastAsia" w:hAnsiTheme="majorEastAsia"/>
          <w:bCs/>
          <w:sz w:val="18"/>
          <w:szCs w:val="18"/>
        </w:rPr>
        <w:t>的</w:t>
      </w:r>
      <w:r>
        <w:rPr>
          <w:rFonts w:asciiTheme="majorEastAsia" w:eastAsiaTheme="majorEastAsia" w:hAnsiTheme="majorEastAsia" w:hint="eastAsia"/>
          <w:bCs/>
          <w:sz w:val="18"/>
          <w:szCs w:val="18"/>
        </w:rPr>
        <w:t>约定</w:t>
      </w:r>
      <w:r>
        <w:rPr>
          <w:rFonts w:asciiTheme="majorEastAsia" w:eastAsiaTheme="majorEastAsia" w:hAnsiTheme="majorEastAsia"/>
          <w:bCs/>
          <w:sz w:val="18"/>
          <w:szCs w:val="18"/>
        </w:rPr>
        <w:t>。</w:t>
      </w:r>
      <w:r>
        <w:rPr>
          <w:rFonts w:asciiTheme="majorEastAsia" w:eastAsiaTheme="majorEastAsia" w:hAnsiTheme="majorEastAsia" w:hint="eastAsia"/>
          <w:bCs/>
          <w:sz w:val="18"/>
          <w:szCs w:val="18"/>
        </w:rPr>
        <w:t>产品管理人将本着诚实信用、谨慎勤勉的原则，在规定的范围内运用理财资金进行投资。</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金融市场发生重大变化导致理财产品投资比例暂时超出浮动区间且可能对理财产品收益产生重大影响的，产品管理人依约定及时向投资者进行信息披露。</w:t>
      </w:r>
    </w:p>
    <w:p w:rsidR="0089074A" w:rsidRDefault="00185114">
      <w:pPr>
        <w:autoSpaceDE w:val="0"/>
        <w:autoSpaceDN w:val="0"/>
        <w:adjustRightInd w:val="0"/>
        <w:spacing w:line="360" w:lineRule="auto"/>
        <w:ind w:firstLineChars="200" w:firstLine="360"/>
        <w:jc w:val="left"/>
        <w:rPr>
          <w:rFonts w:asciiTheme="majorEastAsia" w:eastAsiaTheme="majorEastAsia" w:hAnsiTheme="majorEastAsia"/>
          <w:bCs/>
          <w:sz w:val="18"/>
          <w:szCs w:val="18"/>
        </w:rPr>
      </w:pPr>
      <w:r>
        <w:rPr>
          <w:rFonts w:asciiTheme="majorEastAsia" w:eastAsiaTheme="majorEastAsia" w:hAnsiTheme="majorEastAsia" w:hint="eastAsia"/>
          <w:bCs/>
          <w:sz w:val="18"/>
          <w:szCs w:val="18"/>
        </w:rPr>
        <w:lastRenderedPageBreak/>
        <w:t>（</w:t>
      </w:r>
      <w:r>
        <w:rPr>
          <w:rFonts w:asciiTheme="majorEastAsia" w:eastAsiaTheme="majorEastAsia" w:hAnsiTheme="majorEastAsia"/>
          <w:bCs/>
          <w:sz w:val="18"/>
          <w:szCs w:val="18"/>
        </w:rPr>
        <w:t>3）</w:t>
      </w:r>
      <w:r>
        <w:rPr>
          <w:rFonts w:hAnsi="宋体" w:hint="eastAsia"/>
          <w:sz w:val="18"/>
          <w:szCs w:val="18"/>
        </w:rPr>
        <w:t>★</w:t>
      </w:r>
      <w:r>
        <w:rPr>
          <w:rFonts w:ascii="黑体" w:eastAsia="黑体" w:hAnsi="黑体" w:hint="eastAsia"/>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eastAsia="黑体" w:hAnsi="黑体"/>
          <w:bCs/>
          <w:sz w:val="18"/>
          <w:szCs w:val="18"/>
        </w:rPr>
        <w:t>投资者有权不接受变更</w:t>
      </w:r>
      <w:r>
        <w:rPr>
          <w:rFonts w:ascii="黑体" w:eastAsia="黑体" w:hAnsi="黑体" w:hint="eastAsia"/>
          <w:bCs/>
          <w:sz w:val="18"/>
          <w:szCs w:val="18"/>
        </w:rPr>
        <w:t>，并通过赎回退出本产品。</w:t>
      </w:r>
    </w:p>
    <w:p w:rsidR="0089074A" w:rsidRDefault="00185114">
      <w:pPr>
        <w:pStyle w:val="Default"/>
        <w:spacing w:line="360" w:lineRule="auto"/>
        <w:ind w:firstLineChars="200" w:firstLine="360"/>
        <w:jc w:val="both"/>
        <w:rPr>
          <w:rFonts w:asciiTheme="majorEastAsia" w:eastAsiaTheme="majorEastAsia" w:hAnsiTheme="majorEastAsia"/>
          <w:bCs/>
          <w:sz w:val="18"/>
          <w:szCs w:val="18"/>
        </w:rPr>
      </w:pPr>
      <w:r>
        <w:rPr>
          <w:rFonts w:ascii="黑体" w:eastAsia="黑体" w:hAnsi="黑体" w:hint="eastAsia"/>
          <w:bCs/>
          <w:sz w:val="18"/>
          <w:szCs w:val="18"/>
        </w:rPr>
        <w:t>（</w:t>
      </w:r>
      <w:r>
        <w:rPr>
          <w:rFonts w:ascii="黑体" w:eastAsia="黑体" w:hAnsi="黑体"/>
          <w:bCs/>
          <w:sz w:val="18"/>
          <w:szCs w:val="18"/>
        </w:rPr>
        <w:t>4）</w:t>
      </w:r>
      <w:r>
        <w:rPr>
          <w:rFonts w:hAnsi="宋体" w:hint="eastAsia"/>
          <w:sz w:val="18"/>
          <w:szCs w:val="18"/>
        </w:rPr>
        <w:t>★</w:t>
      </w:r>
      <w:r>
        <w:rPr>
          <w:rFonts w:ascii="黑体" w:eastAsia="黑体" w:hAnsi="黑体" w:hint="eastAsia"/>
          <w:bCs/>
          <w:sz w:val="18"/>
          <w:szCs w:val="18"/>
        </w:rPr>
        <w:t>产品管理人</w:t>
      </w:r>
      <w:r>
        <w:rPr>
          <w:rFonts w:ascii="黑体" w:eastAsia="黑体" w:hAnsi="黑体"/>
          <w:bCs/>
          <w:sz w:val="18"/>
          <w:szCs w:val="18"/>
        </w:rPr>
        <w:t>按照法律法规、</w:t>
      </w:r>
      <w:r>
        <w:rPr>
          <w:rFonts w:ascii="黑体" w:eastAsia="黑体" w:hAnsi="黑体" w:hint="eastAsia"/>
          <w:bCs/>
          <w:sz w:val="18"/>
          <w:szCs w:val="18"/>
        </w:rPr>
        <w:t>理财产品</w:t>
      </w:r>
      <w:r>
        <w:rPr>
          <w:rFonts w:ascii="黑体" w:eastAsia="黑体" w:hAnsi="黑体"/>
          <w:bCs/>
          <w:sz w:val="18"/>
          <w:szCs w:val="18"/>
        </w:rPr>
        <w:t>销售文件及其他相关约定，诚实信用、谨慎勤勉地实施投资管理行为，以专业技能管理理财</w:t>
      </w:r>
      <w:r>
        <w:rPr>
          <w:rFonts w:ascii="黑体" w:eastAsia="黑体" w:hAnsi="黑体" w:hint="eastAsia"/>
          <w:bCs/>
          <w:sz w:val="18"/>
          <w:szCs w:val="18"/>
        </w:rPr>
        <w:t>产品</w:t>
      </w:r>
      <w:r>
        <w:rPr>
          <w:rFonts w:ascii="黑体" w:eastAsia="黑体" w:hAnsi="黑体"/>
          <w:bCs/>
          <w:sz w:val="18"/>
          <w:szCs w:val="18"/>
        </w:rPr>
        <w:t>资产，依法维护理财产品全体投资者的利益。</w:t>
      </w:r>
      <w:r>
        <w:rPr>
          <w:rFonts w:ascii="黑体" w:eastAsia="黑体" w:hAnsi="黑体" w:hint="eastAsia"/>
          <w:bCs/>
          <w:sz w:val="18"/>
          <w:szCs w:val="18"/>
        </w:rPr>
        <w:t>产品管理人</w:t>
      </w:r>
      <w:r>
        <w:rPr>
          <w:rFonts w:ascii="黑体" w:eastAsia="黑体" w:hAnsi="黑体"/>
          <w:bCs/>
          <w:sz w:val="18"/>
          <w:szCs w:val="18"/>
        </w:rPr>
        <w:t>不对本产品的收益情况作出承诺或保证，亦不会承诺或保证最低收益或本金安全。</w:t>
      </w:r>
      <w:r>
        <w:rPr>
          <w:rFonts w:ascii="黑体" w:eastAsia="黑体" w:hAnsi="黑体" w:hint="eastAsia"/>
          <w:bCs/>
          <w:sz w:val="18"/>
          <w:szCs w:val="18"/>
        </w:rPr>
        <w:t>产品管理人</w:t>
      </w:r>
      <w:r>
        <w:rPr>
          <w:rFonts w:ascii="黑体" w:eastAsia="黑体" w:hAnsi="黑体"/>
          <w:bCs/>
          <w:sz w:val="18"/>
          <w:szCs w:val="18"/>
        </w:rPr>
        <w:t>按照本</w:t>
      </w:r>
      <w:r>
        <w:rPr>
          <w:rFonts w:ascii="黑体" w:eastAsia="黑体" w:hAnsi="黑体" w:hint="eastAsia"/>
          <w:bCs/>
          <w:sz w:val="18"/>
          <w:szCs w:val="18"/>
        </w:rPr>
        <w:t>销售文件</w:t>
      </w:r>
      <w:r>
        <w:rPr>
          <w:rFonts w:ascii="黑体" w:eastAsia="黑体" w:hAnsi="黑体"/>
          <w:bCs/>
          <w:sz w:val="18"/>
          <w:szCs w:val="18"/>
        </w:rPr>
        <w:t>及其他相关</w:t>
      </w:r>
      <w:r>
        <w:rPr>
          <w:rFonts w:ascii="黑体" w:eastAsia="黑体" w:hAnsi="黑体" w:hint="eastAsia"/>
          <w:bCs/>
          <w:sz w:val="18"/>
          <w:szCs w:val="18"/>
        </w:rPr>
        <w:t>文件</w:t>
      </w:r>
      <w:r>
        <w:rPr>
          <w:rFonts w:ascii="黑体" w:eastAsia="黑体" w:hAnsi="黑体"/>
          <w:bCs/>
          <w:sz w:val="18"/>
          <w:szCs w:val="18"/>
        </w:rPr>
        <w:t>的规定进行投资运作，由此所产生的损失，</w:t>
      </w:r>
      <w:r>
        <w:rPr>
          <w:rFonts w:ascii="黑体" w:eastAsia="黑体" w:hAnsi="黑体" w:hint="eastAsia"/>
          <w:bCs/>
          <w:sz w:val="18"/>
          <w:szCs w:val="18"/>
        </w:rPr>
        <w:t>产品管理人</w:t>
      </w:r>
      <w:r>
        <w:rPr>
          <w:rFonts w:ascii="黑体" w:eastAsia="黑体" w:hAnsi="黑体"/>
          <w:bCs/>
          <w:sz w:val="18"/>
          <w:szCs w:val="18"/>
        </w:rPr>
        <w:t>不承担</w:t>
      </w:r>
      <w:r>
        <w:rPr>
          <w:rFonts w:ascii="黑体" w:eastAsia="黑体" w:hAnsi="黑体" w:hint="eastAsia"/>
          <w:bCs/>
          <w:sz w:val="18"/>
          <w:szCs w:val="18"/>
        </w:rPr>
        <w:t>责任</w:t>
      </w:r>
      <w:r>
        <w:rPr>
          <w:rFonts w:ascii="黑体" w:eastAsia="黑体" w:hAnsi="黑体"/>
          <w:bCs/>
          <w:sz w:val="18"/>
          <w:szCs w:val="18"/>
        </w:rPr>
        <w:t>。</w:t>
      </w:r>
    </w:p>
    <w:p w:rsidR="0089074A" w:rsidRDefault="00185114">
      <w:pPr>
        <w:pStyle w:val="Default"/>
        <w:spacing w:line="360" w:lineRule="auto"/>
        <w:ind w:firstLineChars="150" w:firstLine="271"/>
      </w:pPr>
      <w:r>
        <w:rPr>
          <w:rFonts w:asciiTheme="majorEastAsia" w:eastAsiaTheme="majorEastAsia" w:hAnsiTheme="majorEastAsia" w:hint="eastAsia"/>
          <w:b/>
          <w:color w:val="auto"/>
          <w:sz w:val="18"/>
          <w:szCs w:val="18"/>
        </w:rPr>
        <w:t>（三）投资限制</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1.组合限制</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permStart w:id="1710949481" w:edGrp="everyone"/>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w:t>
      </w:r>
      <w:r>
        <w:rPr>
          <w:rFonts w:asciiTheme="majorEastAsia" w:eastAsiaTheme="majorEastAsia" w:hAnsiTheme="majorEastAsia" w:hint="eastAsia"/>
          <w:bCs/>
          <w:color w:val="auto"/>
          <w:sz w:val="18"/>
          <w:szCs w:val="18"/>
        </w:rPr>
        <w:t>每只公募理财产品投资单只证券或者单只公募证券投资基金的市值不得超过该理财产品净资产的10%。</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（2）全部公募理财产品持有单只证券或单只公募证券投资基金的市值，不得超过该证券市值或该公募证券投资基金市值的30%。</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（3）每只开放式公募理财产品直接投资于流动性受限资产的市值在开放日不得超过该产品资产净值的15%。</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因证券市场波动、上市公司股票停牌、理财产品规模变动等因素导致理财产品不符合本款规定比例限制的，该理财产品不得主动新增投资流动性受限资产。</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4）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 xml:space="preserve">（5）每只开放式理财产品每日确认且需当日支付的净赎回申请不超过前一工作日产品7个工作日可变现资产的可变现价值，银保监会另有规定的除外。在开放日前一工作日内，每只开放式理财产品7个工作日可变现资产的可变现价值应当不低于该产品资产净值的10%。 </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（6）本产品因为流动性需要可开展存单质押、债券正回购等融资业务，本产品总资产不超过净资产的140%。</w:t>
      </w:r>
    </w:p>
    <w:p w:rsidR="0089074A" w:rsidRDefault="00185114">
      <w:pPr>
        <w:spacing w:line="360" w:lineRule="auto"/>
        <w:ind w:firstLineChars="200" w:firstLine="360"/>
        <w:rPr>
          <w:rFonts w:asciiTheme="majorEastAsia" w:eastAsiaTheme="majorEastAsia" w:hAnsiTheme="majorEastAsia"/>
          <w:bCs/>
          <w:kern w:val="0"/>
          <w:sz w:val="18"/>
          <w:szCs w:val="18"/>
        </w:rPr>
      </w:pPr>
      <w:r>
        <w:rPr>
          <w:rFonts w:asciiTheme="majorEastAsia" w:eastAsiaTheme="majorEastAsia" w:hAnsiTheme="majorEastAsia" w:hint="eastAsia"/>
          <w:bCs/>
          <w:kern w:val="0"/>
          <w:sz w:val="18"/>
          <w:szCs w:val="18"/>
        </w:rPr>
        <w:t>（7）本产品投资不存在活跃交易市场，并且需要采用估值技术确定公允价值的资产占理财产品净资产的比例低于50%。</w:t>
      </w:r>
    </w:p>
    <w:p w:rsidR="0089074A" w:rsidRDefault="00185114">
      <w:pPr>
        <w:spacing w:line="360" w:lineRule="auto"/>
        <w:ind w:firstLineChars="200" w:firstLine="360"/>
        <w:rPr>
          <w:rFonts w:asciiTheme="majorEastAsia" w:eastAsiaTheme="majorEastAsia" w:hAnsiTheme="majorEastAsia"/>
          <w:bCs/>
          <w:color w:val="000000" w:themeColor="text1"/>
          <w:sz w:val="18"/>
          <w:szCs w:val="18"/>
        </w:rPr>
      </w:pPr>
      <w:r>
        <w:rPr>
          <w:rFonts w:asciiTheme="majorEastAsia" w:eastAsiaTheme="majorEastAsia" w:hAnsiTheme="majorEastAsia" w:hint="eastAsia"/>
          <w:bCs/>
          <w:sz w:val="18"/>
          <w:szCs w:val="18"/>
        </w:rPr>
        <w:t>非因产品管理人主观因素导致突破前述比例限制的，产品管理人应当在流动性受限资产可出售、可转让或者恢复交易的</w:t>
      </w:r>
      <w:r>
        <w:rPr>
          <w:rFonts w:asciiTheme="majorEastAsia" w:eastAsiaTheme="majorEastAsia" w:hAnsiTheme="majorEastAsia"/>
          <w:bCs/>
          <w:sz w:val="18"/>
          <w:szCs w:val="18"/>
        </w:rPr>
        <w:t>10个交易日内调整至符合要求，监管机构规定的特殊情形除外。本</w:t>
      </w:r>
      <w:r>
        <w:rPr>
          <w:rFonts w:asciiTheme="majorEastAsia" w:eastAsiaTheme="majorEastAsia" w:hAnsiTheme="majorEastAsia" w:hint="eastAsia"/>
          <w:bCs/>
          <w:kern w:val="0"/>
          <w:sz w:val="18"/>
          <w:szCs w:val="18"/>
        </w:rPr>
        <w:t>产品投资于国债、地</w:t>
      </w:r>
      <w:r>
        <w:rPr>
          <w:rFonts w:asciiTheme="majorEastAsia" w:eastAsiaTheme="majorEastAsia" w:hAnsiTheme="majorEastAsia" w:hint="eastAsia"/>
          <w:bCs/>
          <w:kern w:val="0"/>
          <w:sz w:val="18"/>
          <w:szCs w:val="18"/>
        </w:rPr>
        <w:lastRenderedPageBreak/>
        <w:t>方政府债券、中央银行票据、政府机构债券、政策性金融债券以及完全按照有关指数的构成比例进行投资的除外。</w:t>
      </w:r>
    </w:p>
    <w:permEnd w:id="1710949481"/>
    <w:p w:rsidR="0089074A" w:rsidRDefault="00185114">
      <w:pPr>
        <w:spacing w:line="360" w:lineRule="auto"/>
        <w:ind w:firstLineChars="200" w:firstLine="360"/>
        <w:rPr>
          <w:rFonts w:ascii="宋体" w:hAnsi="宋体"/>
          <w:bCs/>
          <w:sz w:val="18"/>
          <w:szCs w:val="18"/>
        </w:rPr>
      </w:pPr>
      <w:r>
        <w:rPr>
          <w:rFonts w:ascii="宋体" w:hAnsi="宋体"/>
          <w:bCs/>
          <w:sz w:val="18"/>
          <w:szCs w:val="18"/>
        </w:rPr>
        <w:t>2.</w:t>
      </w:r>
      <w:r>
        <w:rPr>
          <w:rFonts w:ascii="宋体" w:hAnsi="宋体" w:hint="eastAsia"/>
          <w:bCs/>
          <w:sz w:val="18"/>
          <w:szCs w:val="18"/>
        </w:rPr>
        <w:t>其他投资限制：</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1</w:t>
      </w:r>
      <w:r>
        <w:rPr>
          <w:rFonts w:ascii="宋体" w:hAnsi="宋体" w:hint="eastAsia"/>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2</w:t>
      </w:r>
      <w:r>
        <w:rPr>
          <w:rFonts w:ascii="宋体" w:hAnsi="宋体" w:hint="eastAsia"/>
          <w:bCs/>
          <w:sz w:val="18"/>
          <w:szCs w:val="18"/>
        </w:rPr>
        <w:t>）面向非机构投资者发行的理财产品不得直接或间接投资于不良资产、不良资产支持证券，国务院银行业监督管理机构另有规定的除外。</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3</w:t>
      </w:r>
      <w:r>
        <w:rPr>
          <w:rFonts w:ascii="宋体" w:hAnsi="宋体" w:hint="eastAsia"/>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ascii="宋体" w:hAnsi="宋体" w:hint="eastAsia"/>
          <w:bCs/>
          <w:sz w:val="18"/>
          <w:szCs w:val="18"/>
        </w:rPr>
        <w:t>不持有金融牌照的机构发行的产品或管理的资产，金融资产投资公司的附属机构依法依规设立的私募股权投资基金以及国务院银行业监督管理机构另有规定的除外。</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4</w:t>
      </w:r>
      <w:r>
        <w:rPr>
          <w:rFonts w:ascii="宋体" w:hAnsi="宋体" w:hint="eastAsia"/>
          <w:bCs/>
          <w:sz w:val="18"/>
          <w:szCs w:val="18"/>
        </w:rPr>
        <w:t>）不得直接或间接投资于兴业银行信贷资产受（收）益权，面向非机构投资者发行的理财产品不得直接或间接投资于不良资产受（收）益权。</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5</w:t>
      </w:r>
      <w:r>
        <w:rPr>
          <w:rFonts w:ascii="宋体" w:hAnsi="宋体" w:hint="eastAsia"/>
          <w:bCs/>
          <w:sz w:val="18"/>
          <w:szCs w:val="18"/>
        </w:rPr>
        <w:t>）其他法律法规规定或监管规定禁止或限制理财产品投资的情形。</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如果法律法规对本</w:t>
      </w:r>
      <w:r>
        <w:rPr>
          <w:rFonts w:asciiTheme="majorEastAsia" w:eastAsiaTheme="majorEastAsia" w:hAnsiTheme="majorEastAsia" w:hint="eastAsia"/>
          <w:bCs/>
          <w:sz w:val="18"/>
          <w:szCs w:val="18"/>
        </w:rPr>
        <w:t>销售文件</w:t>
      </w:r>
      <w:r>
        <w:rPr>
          <w:rFonts w:asciiTheme="majorEastAsia" w:eastAsiaTheme="majorEastAsia" w:hAnsiTheme="majorEastAsia"/>
          <w:bCs/>
          <w:sz w:val="18"/>
          <w:szCs w:val="18"/>
        </w:rPr>
        <w:t>约定的投资限制进行变更的，以变更后的规定为准。</w:t>
      </w:r>
    </w:p>
    <w:p w:rsidR="0089074A" w:rsidRDefault="00185114">
      <w:pPr>
        <w:spacing w:line="360" w:lineRule="auto"/>
        <w:ind w:firstLineChars="200" w:firstLine="361"/>
        <w:rPr>
          <w:rFonts w:asciiTheme="majorEastAsia" w:eastAsiaTheme="majorEastAsia" w:hAnsiTheme="majorEastAsia"/>
          <w:b/>
          <w:bCs/>
          <w:sz w:val="18"/>
          <w:szCs w:val="18"/>
        </w:rPr>
      </w:pPr>
      <w:r>
        <w:rPr>
          <w:rFonts w:asciiTheme="majorEastAsia" w:eastAsiaTheme="majorEastAsia" w:hAnsiTheme="majorEastAsia"/>
          <w:b/>
          <w:bCs/>
          <w:sz w:val="18"/>
          <w:szCs w:val="18"/>
        </w:rPr>
        <w:t>（</w:t>
      </w:r>
      <w:r>
        <w:rPr>
          <w:rFonts w:asciiTheme="majorEastAsia" w:eastAsiaTheme="majorEastAsia" w:hAnsiTheme="majorEastAsia" w:hint="eastAsia"/>
          <w:b/>
          <w:bCs/>
          <w:sz w:val="18"/>
          <w:szCs w:val="18"/>
        </w:rPr>
        <w:t>四</w:t>
      </w:r>
      <w:r>
        <w:rPr>
          <w:rFonts w:asciiTheme="majorEastAsia" w:eastAsiaTheme="majorEastAsia" w:hAnsiTheme="majorEastAsia"/>
          <w:b/>
          <w:bCs/>
          <w:sz w:val="18"/>
          <w:szCs w:val="18"/>
        </w:rPr>
        <w:t>）</w:t>
      </w:r>
      <w:r>
        <w:rPr>
          <w:rFonts w:asciiTheme="majorEastAsia" w:eastAsiaTheme="majorEastAsia" w:hAnsiTheme="majorEastAsia" w:hint="eastAsia"/>
          <w:b/>
          <w:bCs/>
          <w:sz w:val="18"/>
          <w:szCs w:val="18"/>
        </w:rPr>
        <w:t>投资策略</w:t>
      </w:r>
    </w:p>
    <w:p w:rsidR="0089074A" w:rsidRDefault="00185114">
      <w:pPr>
        <w:pStyle w:val="Default"/>
        <w:spacing w:line="360" w:lineRule="auto"/>
        <w:ind w:firstLineChars="200" w:firstLine="360"/>
        <w:rPr>
          <w:rFonts w:asciiTheme="majorEastAsia" w:eastAsiaTheme="majorEastAsia" w:hAnsiTheme="majorEastAsia"/>
          <w:bCs/>
          <w:sz w:val="18"/>
          <w:szCs w:val="18"/>
        </w:rPr>
      </w:pPr>
      <w:permStart w:id="843189526" w:edGrp="everyone"/>
      <w:r>
        <w:rPr>
          <w:rFonts w:asciiTheme="majorEastAsia" w:eastAsiaTheme="majorEastAsia" w:hAnsiTheme="majorEastAsia" w:hint="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ermEnd w:id="843189526"/>
    <w:p w:rsidR="0089074A" w:rsidRDefault="00185114">
      <w:pPr>
        <w:pStyle w:val="HTML"/>
        <w:spacing w:line="360" w:lineRule="auto"/>
        <w:ind w:firstLineChars="200" w:firstLine="360"/>
        <w:rPr>
          <w:rFonts w:asciiTheme="majorEastAsia" w:eastAsiaTheme="majorEastAsia" w:hAnsiTheme="majorEastAsia"/>
          <w:sz w:val="18"/>
          <w:szCs w:val="18"/>
        </w:rPr>
      </w:pPr>
      <w:r>
        <w:rPr>
          <w:rFonts w:asciiTheme="majorEastAsia" w:eastAsiaTheme="majorEastAsia" w:hAnsiTheme="majorEastAsia"/>
          <w:sz w:val="18"/>
          <w:szCs w:val="18"/>
        </w:rPr>
        <w:br w:type="page"/>
      </w:r>
    </w:p>
    <w:p w:rsidR="0089074A" w:rsidRDefault="00185114">
      <w:pPr>
        <w:pStyle w:val="1"/>
        <w:spacing w:before="0" w:after="0" w:line="360" w:lineRule="auto"/>
        <w:jc w:val="center"/>
        <w:rPr>
          <w:rFonts w:ascii="Times New Roman"/>
          <w:sz w:val="30"/>
        </w:rPr>
      </w:pPr>
      <w:bookmarkStart w:id="38" w:name="_Toc14893"/>
      <w:bookmarkStart w:id="39" w:name="_Toc139991735"/>
      <w:bookmarkStart w:id="40" w:name="_Toc141703885"/>
      <w:bookmarkStart w:id="41" w:name="_Toc16372"/>
      <w:bookmarkStart w:id="42" w:name="_Toc74065742"/>
      <w:bookmarkStart w:id="43" w:name="_Toc21988"/>
      <w:bookmarkStart w:id="44" w:name="_Toc18526"/>
      <w:bookmarkStart w:id="45" w:name="_Toc7848"/>
      <w:bookmarkStart w:id="46" w:name="_Toc79154669"/>
      <w:bookmarkStart w:id="47" w:name="_Toc18329"/>
      <w:bookmarkStart w:id="48" w:name="_Toc1823"/>
      <w:bookmarkStart w:id="49" w:name="_Toc26986"/>
      <w:bookmarkStart w:id="50" w:name="_Toc92377135"/>
      <w:bookmarkStart w:id="51" w:name="_Toc17912"/>
      <w:bookmarkStart w:id="52" w:name="_Toc4741"/>
      <w:bookmarkStart w:id="53" w:name="_Toc18797"/>
      <w:bookmarkStart w:id="54" w:name="_Toc103260533"/>
      <w:r>
        <w:rPr>
          <w:rFonts w:ascii="Times New Roman"/>
          <w:sz w:val="30"/>
        </w:rPr>
        <w:lastRenderedPageBreak/>
        <w:t>第</w:t>
      </w:r>
      <w:r>
        <w:rPr>
          <w:rFonts w:ascii="Times New Roman" w:hint="eastAsia"/>
          <w:sz w:val="30"/>
        </w:rPr>
        <w:t>六条</w:t>
      </w:r>
      <w:r>
        <w:rPr>
          <w:rFonts w:ascii="Times New Roman"/>
          <w:sz w:val="30"/>
        </w:rPr>
        <w:t xml:space="preserve">  </w:t>
      </w:r>
      <w:r>
        <w:rPr>
          <w:rFonts w:ascii="Times New Roman" w:hint="eastAsia"/>
          <w:sz w:val="30"/>
        </w:rPr>
        <w:t>理财产品的资产</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bookmarkStart w:id="55" w:name="_Hlk490214295"/>
      <w:r>
        <w:rPr>
          <w:rFonts w:asciiTheme="majorEastAsia" w:eastAsiaTheme="majorEastAsia" w:hAnsiTheme="majorEastAsia" w:hint="eastAsia"/>
          <w:b/>
          <w:color w:val="auto"/>
          <w:sz w:val="18"/>
          <w:szCs w:val="18"/>
        </w:rPr>
        <w:t>（一）理财产品的资产的保管和处分</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本理财产品的资产独立于产品管理人和产品托管人的财产，并由产品托管人保管。</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3.</w:t>
      </w:r>
      <w:r>
        <w:rPr>
          <w:rFonts w:asciiTheme="majorEastAsia" w:eastAsiaTheme="majorEastAsia" w:hAnsiTheme="majorEastAsia" w:hint="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（二）理财产品的有关账户</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1.</w:t>
      </w:r>
      <w:r>
        <w:rPr>
          <w:rFonts w:asciiTheme="majorEastAsia" w:eastAsiaTheme="majorEastAsia" w:hAnsiTheme="majorEastAsia" w:hint="eastAsia"/>
          <w:color w:val="auto"/>
          <w:sz w:val="18"/>
          <w:szCs w:val="18"/>
        </w:rPr>
        <w:t>产品管理人和产品托管人根据相关法律法规、规范性文件为本产品开立资金账户、证券账户以及投资所需的其他专用账户。</w:t>
      </w:r>
    </w:p>
    <w:p w:rsidR="0089074A" w:rsidRDefault="00185114">
      <w:pPr>
        <w:pStyle w:val="Default"/>
        <w:spacing w:line="360" w:lineRule="auto"/>
        <w:ind w:firstLineChars="200" w:firstLine="360"/>
        <w:rPr>
          <w:rFonts w:asciiTheme="majorEastAsia" w:eastAsiaTheme="majorEastAsia" w:hAnsiTheme="majorEastAsia"/>
          <w:color w:val="auto"/>
          <w:sz w:val="18"/>
          <w:szCs w:val="18"/>
        </w:rPr>
      </w:pPr>
      <w:r>
        <w:rPr>
          <w:rFonts w:asciiTheme="majorEastAsia" w:eastAsiaTheme="majorEastAsia" w:hAnsiTheme="majorEastAsia"/>
          <w:color w:val="auto"/>
          <w:sz w:val="18"/>
          <w:szCs w:val="18"/>
        </w:rPr>
        <w:t>2.</w:t>
      </w:r>
      <w:r>
        <w:rPr>
          <w:rFonts w:asciiTheme="majorEastAsia" w:eastAsiaTheme="majorEastAsia" w:hAnsiTheme="majorEastAsia" w:hint="eastAsia"/>
          <w:color w:val="auto"/>
          <w:sz w:val="18"/>
          <w:szCs w:val="18"/>
        </w:rPr>
        <w:t>开立的理财专用账户与产品管理人和产品托管人自有的财产账户以及其他理财产品的有关账户相独立。</w:t>
      </w:r>
    </w:p>
    <w:p w:rsidR="0089074A" w:rsidRDefault="00185114">
      <w:pPr>
        <w:widowControl/>
        <w:spacing w:line="360" w:lineRule="auto"/>
        <w:jc w:val="left"/>
        <w:rPr>
          <w:rFonts w:asciiTheme="majorEastAsia" w:eastAsiaTheme="majorEastAsia" w:hAnsiTheme="majorEastAsia"/>
          <w:kern w:val="0"/>
          <w:sz w:val="18"/>
          <w:szCs w:val="18"/>
        </w:rPr>
      </w:pPr>
      <w:r>
        <w:rPr>
          <w:rFonts w:asciiTheme="majorEastAsia" w:eastAsiaTheme="majorEastAsia" w:hAnsiTheme="majorEastAsia"/>
          <w:sz w:val="18"/>
          <w:szCs w:val="18"/>
        </w:rPr>
        <w:br w:type="page"/>
      </w:r>
    </w:p>
    <w:p w:rsidR="0089074A" w:rsidRDefault="00185114">
      <w:pPr>
        <w:pStyle w:val="1"/>
        <w:spacing w:before="0" w:after="0" w:line="360" w:lineRule="auto"/>
        <w:jc w:val="center"/>
        <w:rPr>
          <w:rFonts w:ascii="Times New Roman"/>
          <w:sz w:val="28"/>
          <w:szCs w:val="28"/>
        </w:rPr>
      </w:pPr>
      <w:bookmarkStart w:id="56" w:name="_Toc92377136"/>
      <w:bookmarkStart w:id="57" w:name="_Toc83391971"/>
      <w:bookmarkStart w:id="58" w:name="_Toc11569"/>
      <w:bookmarkStart w:id="59" w:name="_Toc103260534"/>
      <w:bookmarkStart w:id="60" w:name="_Toc79392606"/>
      <w:bookmarkStart w:id="61" w:name="_Toc1427"/>
      <w:bookmarkStart w:id="62" w:name="_Toc48649707"/>
      <w:bookmarkStart w:id="63" w:name="_Toc1270"/>
      <w:bookmarkStart w:id="64" w:name="_Toc23822"/>
      <w:bookmarkStart w:id="65" w:name="_Toc20733"/>
      <w:bookmarkStart w:id="66" w:name="_Toc610"/>
      <w:bookmarkStart w:id="67" w:name="_Toc98560352"/>
      <w:bookmarkStart w:id="68" w:name="_Toc139991736"/>
      <w:bookmarkStart w:id="69" w:name="_Toc17244"/>
      <w:bookmarkStart w:id="70" w:name="_Toc10463"/>
      <w:bookmarkStart w:id="71" w:name="_Toc123112234"/>
      <w:bookmarkStart w:id="72" w:name="_Toc7920"/>
      <w:bookmarkStart w:id="73" w:name="_Toc123102453"/>
      <w:bookmarkStart w:id="74" w:name="_Toc23261"/>
      <w:bookmarkStart w:id="75" w:name="_Toc141703886"/>
      <w:bookmarkStart w:id="76" w:name="_Toc123051452"/>
      <w:bookmarkStart w:id="77" w:name="_Toc74065743"/>
      <w:bookmarkStart w:id="78" w:name="_Toc4003"/>
      <w:bookmarkStart w:id="79" w:name="_Toc79154670"/>
      <w:bookmarkEnd w:id="55"/>
      <w:r>
        <w:rPr>
          <w:rFonts w:ascii="Times New Roman" w:hint="eastAsia"/>
          <w:sz w:val="28"/>
          <w:szCs w:val="28"/>
        </w:rPr>
        <w:lastRenderedPageBreak/>
        <w:t>第七条</w:t>
      </w:r>
      <w:r>
        <w:rPr>
          <w:rFonts w:ascii="Times New Roman"/>
          <w:sz w:val="28"/>
          <w:szCs w:val="28"/>
        </w:rPr>
        <w:t xml:space="preserve">  </w:t>
      </w:r>
      <w:r>
        <w:rPr>
          <w:rFonts w:ascii="Times New Roman" w:hint="eastAsia"/>
          <w:sz w:val="28"/>
          <w:szCs w:val="28"/>
        </w:rPr>
        <w:t>理财产品项下资产的估值</w:t>
      </w:r>
      <w:bookmarkEnd w:id="56"/>
      <w:bookmarkEnd w:id="57"/>
      <w:bookmarkEnd w:id="58"/>
      <w:bookmarkEnd w:id="59"/>
    </w:p>
    <w:p w:rsidR="0089074A" w:rsidRDefault="00185114">
      <w:pPr>
        <w:pStyle w:val="Default"/>
        <w:spacing w:line="360" w:lineRule="auto"/>
        <w:ind w:firstLineChars="200" w:firstLine="360"/>
        <w:rPr>
          <w:rFonts w:ascii="黑体" w:eastAsia="黑体" w:hAnsi="黑体"/>
          <w:color w:val="auto"/>
          <w:sz w:val="18"/>
          <w:szCs w:val="18"/>
        </w:rPr>
      </w:pPr>
      <w:r>
        <w:rPr>
          <w:rFonts w:ascii="黑体" w:eastAsia="黑体" w:hAnsi="黑体" w:hint="eastAsia"/>
          <w:color w:val="auto"/>
          <w:sz w:val="18"/>
          <w:szCs w:val="18"/>
        </w:rPr>
        <w:t>★注：本说明书估值条款所涉及的资产相关描述，仅为估值条款完备性而设计，并不代表本产品投资范围涉及该资产。本产品的投资范围仍应以“第五条 理财产品的投资“约定为准。</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hint="eastAsia"/>
          <w:b/>
          <w:color w:val="auto"/>
          <w:sz w:val="18"/>
          <w:szCs w:val="18"/>
        </w:rPr>
        <w:t>（一）估值目的</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理财资产估值的目的是客观、准确地反映理财资产是否保值、增值。</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hint="eastAsia"/>
          <w:b/>
          <w:color w:val="auto"/>
          <w:sz w:val="18"/>
          <w:szCs w:val="18"/>
        </w:rPr>
        <w:t>（二）估值频率</w:t>
      </w:r>
    </w:p>
    <w:p w:rsidR="0089074A" w:rsidRDefault="00185114">
      <w:pPr>
        <w:pStyle w:val="HTML"/>
        <w:spacing w:line="360" w:lineRule="auto"/>
        <w:ind w:firstLineChars="200" w:firstLine="360"/>
        <w:rPr>
          <w:rFonts w:asciiTheme="minorEastAsia" w:eastAsiaTheme="minorEastAsia" w:hAnsiTheme="minorEastAsia"/>
          <w:color w:val="2E3033"/>
          <w:sz w:val="18"/>
          <w:szCs w:val="18"/>
        </w:rPr>
      </w:pPr>
      <w:permStart w:id="1654283552" w:edGrp="everyone"/>
      <w:r>
        <w:rPr>
          <w:rFonts w:hint="eastAsia"/>
          <w:sz w:val="18"/>
          <w:szCs w:val="18"/>
        </w:rPr>
        <w:t>本产品存续期间，每周进行一次估值。如遇产品申购日/赎回日、季度、半年度、年度末等时间节点管理人将增加估值日。</w:t>
      </w:r>
    </w:p>
    <w:permEnd w:id="1654283552"/>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hint="eastAsia"/>
          <w:b/>
          <w:color w:val="auto"/>
          <w:sz w:val="18"/>
          <w:szCs w:val="18"/>
        </w:rPr>
        <w:t>（三）估值对象</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本产品所拥有的各类证券、资产管理产品、银行存款、应收款项、其它投资等资产及负债。</w:t>
      </w:r>
    </w:p>
    <w:p w:rsidR="0089074A" w:rsidRDefault="00185114">
      <w:pPr>
        <w:pStyle w:val="Default"/>
        <w:spacing w:line="360" w:lineRule="auto"/>
        <w:ind w:firstLineChars="200" w:firstLine="361"/>
        <w:rPr>
          <w:rFonts w:asciiTheme="minorEastAsia" w:eastAsiaTheme="minorEastAsia" w:hAnsiTheme="minorEastAsia"/>
          <w:b/>
          <w:sz w:val="18"/>
          <w:szCs w:val="18"/>
        </w:rPr>
      </w:pPr>
      <w:r>
        <w:rPr>
          <w:rFonts w:asciiTheme="minorEastAsia" w:eastAsiaTheme="minorEastAsia" w:hAnsiTheme="minorEastAsia" w:hint="eastAsia"/>
          <w:b/>
          <w:sz w:val="18"/>
          <w:szCs w:val="18"/>
        </w:rPr>
        <w:t>（四）估值方法</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1.</w:t>
      </w:r>
      <w:r>
        <w:rPr>
          <w:rFonts w:asciiTheme="minorEastAsia" w:eastAsiaTheme="minorEastAsia" w:hAnsiTheme="minorEastAsia" w:hint="eastAsia"/>
          <w:b/>
          <w:color w:val="auto"/>
          <w:sz w:val="18"/>
          <w:szCs w:val="18"/>
        </w:rPr>
        <w:t>标准化债权类资产估值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1）债券类资产以公允价值计量，主要依据为第三方估值机构提供的价格数据。</w:t>
      </w:r>
      <w:r>
        <w:rPr>
          <w:rFonts w:asciiTheme="majorEastAsia" w:eastAsiaTheme="majorEastAsia" w:hAnsiTheme="majorEastAsia" w:hint="eastAsia"/>
          <w:bCs/>
          <w:color w:val="auto"/>
          <w:sz w:val="18"/>
          <w:szCs w:val="18"/>
        </w:rPr>
        <w:t>第三方估值机构包括：中央国债登记结算公司和中证指数有限公司。</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2）在证券交易所上市的债券，如第三方估值机构提供的估值价格与市场收盘价存在差异，且管理人认为收盘价更能体现其公允价值，可与托管人协商一致后采用收盘价进行估值。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(3)</w:t>
      </w:r>
      <w:r>
        <w:rPr>
          <w:rFonts w:asciiTheme="majorEastAsia" w:eastAsiaTheme="majorEastAsia" w:hAnsiTheme="majorEastAsia" w:hint="eastAsia"/>
          <w:bCs/>
          <w:color w:val="auto"/>
          <w:sz w:val="18"/>
          <w:szCs w:val="18"/>
        </w:rPr>
        <w:t>对在交易所上市的资产支持证券和私募债，鉴于其不存在活跃市场，或未来现金流难以确定，导致第三方估值数据和市场收盘价均无法准确反映其公允价值的，可采用估值技术对其进行估值，管理人会对估值模型的有效性进行持续有效评估，并尽可能地予以修正。</w:t>
      </w:r>
      <w:r>
        <w:rPr>
          <w:rFonts w:asciiTheme="majorEastAsia" w:eastAsiaTheme="majorEastAsia" w:hAnsiTheme="majorEastAsia"/>
          <w:bCs/>
          <w:color w:val="auto"/>
          <w:sz w:val="18"/>
          <w:szCs w:val="18"/>
        </w:rPr>
        <w:t xml:space="preserve"> </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bCs/>
          <w:color w:val="auto"/>
          <w:sz w:val="18"/>
          <w:szCs w:val="18"/>
        </w:rPr>
        <w:t>(4)</w:t>
      </w:r>
      <w:r>
        <w:rPr>
          <w:rFonts w:asciiTheme="majorEastAsia" w:eastAsiaTheme="majorEastAsia" w:hAnsiTheme="majorEastAsia" w:hint="eastAsia"/>
          <w:bCs/>
          <w:color w:val="auto"/>
          <w:sz w:val="18"/>
          <w:szCs w:val="18"/>
        </w:rPr>
        <w:t>对在银行间市场或交易所市场已发行未上市流通的债券，且第三方估值机构未提供估值数据，采用估值技术确定其公允价值。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5）同一债券同时在两个或两个以上市场交易的，按债券所处的市场及相应的估值标准，分别进行估值。</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hAnsiTheme="majorEastAsia"/>
          <w:b/>
          <w:color w:val="auto"/>
          <w:sz w:val="18"/>
        </w:rPr>
        <w:t>2.</w:t>
      </w:r>
      <w:r>
        <w:rPr>
          <w:rFonts w:asciiTheme="majorEastAsia" w:eastAsiaTheme="majorEastAsia" w:hAnsiTheme="majorEastAsia" w:hint="eastAsia"/>
          <w:b/>
          <w:bCs/>
          <w:color w:val="auto"/>
          <w:sz w:val="18"/>
          <w:szCs w:val="18"/>
        </w:rPr>
        <w:t>境外债券</w:t>
      </w:r>
    </w:p>
    <w:p w:rsidR="0089074A" w:rsidRDefault="00185114">
      <w:pPr>
        <w:pStyle w:val="Default"/>
        <w:spacing w:line="360" w:lineRule="auto"/>
        <w:ind w:firstLineChars="200" w:firstLine="360"/>
        <w:rPr>
          <w:rFonts w:asciiTheme="majorEastAsia" w:hAnsiTheme="majorEastAsia"/>
          <w:bCs/>
          <w:color w:val="auto"/>
          <w:sz w:val="18"/>
          <w:szCs w:val="18"/>
        </w:rPr>
      </w:pPr>
      <w:r>
        <w:rPr>
          <w:rFonts w:asciiTheme="majorEastAsia" w:eastAsiaTheme="majorEastAsia" w:hAnsiTheme="majorEastAsia" w:hint="eastAsia"/>
          <w:bCs/>
          <w:color w:val="auto"/>
          <w:sz w:val="18"/>
          <w:szCs w:val="18"/>
        </w:rPr>
        <w:t>对于境外发行的债券，</w:t>
      </w:r>
      <w:r>
        <w:rPr>
          <w:rFonts w:hAnsi="宋体" w:hint="eastAsia"/>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lastRenderedPageBreak/>
        <w:t>3.非标准化债权类资产</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非标准化债权类资产，是指不满足中国人民银行制定的标准化债权类资产认定标准的债权类资产。可选取第三方估值机构的价格数据或采用估值技术进行估值。</w:t>
      </w:r>
    </w:p>
    <w:p w:rsidR="0089074A" w:rsidRDefault="00185114">
      <w:pPr>
        <w:pStyle w:val="Default"/>
        <w:spacing w:line="360" w:lineRule="auto"/>
        <w:ind w:firstLineChars="200" w:firstLine="361"/>
        <w:rPr>
          <w:rFonts w:asciiTheme="majorEastAsia" w:eastAsiaTheme="majorEastAsia" w:hAnsiTheme="majorEastAsia"/>
          <w:b/>
          <w:bCs/>
          <w:color w:val="auto"/>
          <w:sz w:val="18"/>
          <w:szCs w:val="18"/>
        </w:rPr>
      </w:pPr>
      <w:r>
        <w:rPr>
          <w:rFonts w:asciiTheme="majorEastAsia" w:eastAsiaTheme="majorEastAsia" w:hAnsiTheme="majorEastAsia"/>
          <w:b/>
          <w:bCs/>
          <w:color w:val="auto"/>
          <w:sz w:val="18"/>
          <w:szCs w:val="18"/>
        </w:rPr>
        <w:t>4.上市公司股票</w:t>
      </w:r>
      <w:r>
        <w:rPr>
          <w:rFonts w:asciiTheme="majorEastAsia" w:eastAsiaTheme="majorEastAsia" w:hAnsiTheme="majorEastAsia" w:hint="eastAsia"/>
          <w:b/>
          <w:bCs/>
          <w:color w:val="auto"/>
          <w:sz w:val="18"/>
          <w:szCs w:val="18"/>
        </w:rPr>
        <w:t>估值</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上市公司股票包括正常流通普通股、流通受限股票、长期停牌股票和新发行未上市股票。具体估值方法如下：</w:t>
      </w:r>
    </w:p>
    <w:p w:rsidR="0089074A" w:rsidRDefault="00185114">
      <w:pPr>
        <w:pStyle w:val="Default"/>
        <w:spacing w:line="360" w:lineRule="auto"/>
        <w:ind w:firstLineChars="200" w:firstLine="360"/>
        <w:rPr>
          <w:rFonts w:asciiTheme="majorEastAsia" w:eastAsiaTheme="majorEastAsia" w:hAnsiTheme="majorEastAsia"/>
          <w:bCs/>
          <w:color w:val="auto"/>
          <w:sz w:val="18"/>
          <w:szCs w:val="18"/>
        </w:rPr>
      </w:pPr>
      <w:r>
        <w:rPr>
          <w:rFonts w:asciiTheme="majorEastAsia" w:eastAsiaTheme="majorEastAsia" w:hAnsiTheme="majorEastAsia" w:hint="eastAsia"/>
          <w:bCs/>
          <w:color w:val="auto"/>
          <w:sz w:val="18"/>
          <w:szCs w:val="18"/>
        </w:rPr>
        <w:t>（</w:t>
      </w:r>
      <w:r>
        <w:rPr>
          <w:rFonts w:asciiTheme="majorEastAsia" w:eastAsiaTheme="majorEastAsia" w:hAnsiTheme="majorEastAsia"/>
          <w:bCs/>
          <w:color w:val="auto"/>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2）送股、转增股、配股和公开增发新股等发行未上市的股票，按估值日在证券交易所上市的同一股票的收盘价或最近交易日的收盘价确定公允价值。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3）通过公开、非公开等方式取得且有明确限售期的股票，在限售期内，应以证券交易所上市交易的同一股票的公允价值为基础，引入流动性折扣进行估值。</w:t>
      </w:r>
      <w:r>
        <w:rPr>
          <w:rFonts w:asciiTheme="minorEastAsia" w:eastAsiaTheme="minorEastAsia" w:hAnsiTheme="minorEastAsia" w:hint="eastAsia"/>
          <w:color w:val="auto"/>
          <w:sz w:val="18"/>
          <w:szCs w:val="18"/>
        </w:rPr>
        <w:t>流动性折扣可依据第三方估值机构提供的数据，或采用看跌期权法以及其他合理的估值方法分析确定。</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4）长期停牌股票，</w:t>
      </w:r>
      <w:r>
        <w:rPr>
          <w:rFonts w:asciiTheme="minorEastAsia" w:eastAsiaTheme="minorEastAsia" w:hAnsiTheme="minorEastAsia" w:hint="eastAsia"/>
          <w:color w:val="auto"/>
          <w:sz w:val="18"/>
          <w:szCs w:val="18"/>
        </w:rPr>
        <w:t>根据停牌原因、停牌时间及停牌公司公告等信息，采用估值技术确定公允价值。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5）</w:t>
      </w:r>
      <w:r>
        <w:rPr>
          <w:rFonts w:asciiTheme="minorEastAsia" w:eastAsiaTheme="minorEastAsia" w:hAnsiTheme="minorEastAsia" w:hint="eastAsia"/>
          <w:color w:val="auto"/>
          <w:sz w:val="18"/>
          <w:szCs w:val="18"/>
        </w:rPr>
        <w:t>新发行未上市股票，如果发行日后未发生影响公允价值计量的重大事件的，应采用发行价作为公允价值的最佳估计，已发生影响公允价值计量重大事件的应采用估值技术确定公允价值。</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5.未上市公司股权</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以公允价值计量，应综合考虑被评估企业实际情况、市场交易情况及其他可获得的信息，采用市场法、收益法、重置成本法等估值技术，结合流动性折扣等因素评估公允价值。</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6.</w:t>
      </w:r>
      <w:r>
        <w:rPr>
          <w:rFonts w:asciiTheme="minorEastAsia" w:eastAsiaTheme="minorEastAsia" w:hAnsiTheme="minorEastAsia" w:hint="eastAsia"/>
          <w:b/>
          <w:color w:val="auto"/>
          <w:sz w:val="18"/>
          <w:szCs w:val="18"/>
        </w:rPr>
        <w:t>优先股</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7.</w:t>
      </w:r>
      <w:r>
        <w:rPr>
          <w:rFonts w:asciiTheme="minorEastAsia" w:eastAsiaTheme="minorEastAsia" w:hAnsiTheme="minorEastAsia" w:hint="eastAsia"/>
          <w:b/>
          <w:color w:val="auto"/>
          <w:sz w:val="18"/>
          <w:szCs w:val="18"/>
        </w:rPr>
        <w:t>证券投资基金估值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1）非上市基金估值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1)本产品投资的境内非货币市场基金，按所投资基金估值日的基金份额净值估值；估值日基金净值未公布的，以基金管理人公布的最近一个工作日基金份额净值计算。</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2)本产品投资的境内货币市场基金，按所投资基金前一估值日后至估值日期间（含节假日）的万份收</w:t>
      </w:r>
      <w:r>
        <w:rPr>
          <w:rFonts w:asciiTheme="minorEastAsia" w:eastAsiaTheme="minorEastAsia" w:hAnsiTheme="minorEastAsia"/>
          <w:color w:val="auto"/>
          <w:sz w:val="18"/>
          <w:szCs w:val="18"/>
        </w:rPr>
        <w:lastRenderedPageBreak/>
        <w:t>益计提估值日基金收益。</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w:t>
      </w:r>
      <w:r>
        <w:rPr>
          <w:rFonts w:asciiTheme="minorEastAsia" w:eastAsiaTheme="minorEastAsia" w:hAnsiTheme="minorEastAsia"/>
          <w:color w:val="auto"/>
          <w:sz w:val="18"/>
          <w:szCs w:val="18"/>
        </w:rPr>
        <w:t>2）上市基金估值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1)本产品投资的ETF基金、境内上市定期开放式基金、封闭式基金，按照所投资基金估值日的收盘价估</w:t>
      </w:r>
      <w:r>
        <w:rPr>
          <w:rFonts w:asciiTheme="minorEastAsia" w:eastAsiaTheme="minorEastAsia" w:hAnsiTheme="minorEastAsia" w:hint="eastAsia"/>
          <w:color w:val="auto"/>
          <w:sz w:val="18"/>
          <w:szCs w:val="18"/>
        </w:rPr>
        <w:t>值；估值日无交易的，以最近交易日的收盘价估值。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2)本产品投资的境内上市开放式基金（LOF），按所投资基金估值日的基金份额净值估值；估值日基金净值未公布的，以基金管理人公布的最近一个工作日基金份额净值计算。</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3)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8.</w:t>
      </w:r>
      <w:r>
        <w:rPr>
          <w:rFonts w:asciiTheme="minorEastAsia" w:eastAsiaTheme="minorEastAsia" w:hAnsiTheme="minorEastAsia" w:hint="eastAsia"/>
          <w:b/>
          <w:color w:val="auto"/>
          <w:sz w:val="18"/>
          <w:szCs w:val="18"/>
        </w:rPr>
        <w:t>其他资产管理产品的估值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sz w:val="18"/>
          <w:szCs w:val="18"/>
        </w:rPr>
        <w:t>其他资产管理产品，指理财产品投资的除证券投资基金以外的其他资产管理产品，主要包括：</w:t>
      </w:r>
      <w:r>
        <w:rPr>
          <w:rFonts w:asciiTheme="minorEastAsia" w:eastAsiaTheme="minorEastAsia" w:hAnsiTheme="minorEastAsia" w:hint="eastAsia"/>
          <w:bCs/>
          <w:sz w:val="18"/>
          <w:szCs w:val="18"/>
        </w:rPr>
        <w:t>资金信托，证券公司、证券公司子公司、基金管理公司、基金管理子公司、期货公司、期货公司子公司、保险资产管理机构、金融资产投资公司发行的资产管理产品。其他资产管理产品以估值日资产管理人提供的单位净值进行估值，估值日产品单位净值未提供的，可参考最近可获取的净值确定公允价值。若无法获取净值，产品管理人可与托管人商定后，采用在当前情况下适用的估值技术确定公允价值。</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9.衍生金融工具估值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期货、互换、期权、远期、权证等衍生金融工具场内交易的，按估值日交易所公布的当日结算价估值；如估值日无交易，且最近交易日后未发生影响公允价值计量的重大事件的，按交易所最近交易日结算价进行估值。上述衍生金融工具场外交易的，按照第三方机构提供的估值数据或采取相应的衍生金融工具估值模型进行估值。</w:t>
      </w:r>
      <w:r>
        <w:rPr>
          <w:rFonts w:asciiTheme="minorEastAsia" w:eastAsiaTheme="minorEastAsia" w:hAnsiTheme="minorEastAsia"/>
          <w:color w:val="auto"/>
          <w:sz w:val="18"/>
          <w:szCs w:val="18"/>
        </w:rPr>
        <w:t xml:space="preserve"> </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b/>
          <w:color w:val="auto"/>
          <w:sz w:val="18"/>
          <w:szCs w:val="18"/>
        </w:rPr>
        <w:t>10.</w:t>
      </w:r>
      <w:r>
        <w:rPr>
          <w:rFonts w:asciiTheme="minorEastAsia" w:eastAsiaTheme="minorEastAsia" w:hAnsiTheme="minorEastAsia" w:hint="eastAsia"/>
          <w:b/>
          <w:color w:val="auto"/>
          <w:sz w:val="18"/>
          <w:szCs w:val="18"/>
        </w:rPr>
        <w:t>存款、拆借、回购等货币市场工具的估值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sz w:val="18"/>
          <w:szCs w:val="18"/>
        </w:rPr>
        <w:t>以本金列示，按商定利率在实际持有期间内逐日计提利息。如有估值技术能更准确反映其公允价值的，采用估值技术进行估值。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11.</w:t>
      </w:r>
      <w:r>
        <w:rPr>
          <w:rFonts w:asciiTheme="minorEastAsia" w:eastAsiaTheme="minorEastAsia" w:hAnsiTheme="minorEastAsia" w:hint="eastAsia"/>
          <w:color w:val="auto"/>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12.当开放式公募理财产品（现金管理类理财产品除外）遭遇大额申购或赎回时，管理人可以采用摆动定价机制，以确保估值的公平性。具体操作按照相关法律法规、监管规定和自律规则执行。</w:t>
      </w:r>
    </w:p>
    <w:p w:rsidR="0089074A" w:rsidRDefault="00185114">
      <w:pPr>
        <w:pStyle w:val="Default"/>
        <w:spacing w:line="360" w:lineRule="auto"/>
        <w:ind w:firstLineChars="200" w:firstLine="360"/>
        <w:rPr>
          <w:rFonts w:ascii="黑体" w:eastAsia="黑体" w:hAnsi="黑体"/>
          <w:color w:val="auto"/>
          <w:sz w:val="18"/>
          <w:szCs w:val="18"/>
        </w:rPr>
      </w:pPr>
      <w:r>
        <w:rPr>
          <w:rFonts w:ascii="黑体" w:eastAsia="黑体" w:hAnsi="黑体"/>
          <w:color w:val="auto"/>
          <w:sz w:val="18"/>
          <w:szCs w:val="18"/>
        </w:rPr>
        <w:t>1</w:t>
      </w:r>
      <w:r>
        <w:rPr>
          <w:rFonts w:ascii="黑体" w:eastAsia="黑体" w:hAnsi="黑体" w:hint="eastAsia"/>
          <w:color w:val="auto"/>
          <w:sz w:val="18"/>
          <w:szCs w:val="18"/>
        </w:rPr>
        <w:t>3</w:t>
      </w:r>
      <w:r>
        <w:rPr>
          <w:rFonts w:ascii="黑体" w:eastAsia="黑体" w:hAnsi="黑体"/>
          <w:color w:val="auto"/>
          <w:sz w:val="18"/>
          <w:szCs w:val="18"/>
        </w:rPr>
        <w:t>.</w:t>
      </w:r>
      <w:r>
        <w:rPr>
          <w:rFonts w:ascii="黑体" w:eastAsia="黑体" w:hAnsi="黑体" w:hint="eastAsia"/>
          <w:color w:val="auto"/>
          <w:sz w:val="18"/>
          <w:szCs w:val="18"/>
        </w:rPr>
        <w:t>★估值方法的调整</w:t>
      </w:r>
    </w:p>
    <w:p w:rsidR="0089074A" w:rsidRDefault="00185114">
      <w:pPr>
        <w:pStyle w:val="Default"/>
        <w:spacing w:line="360" w:lineRule="auto"/>
        <w:ind w:firstLineChars="200" w:firstLine="360"/>
        <w:rPr>
          <w:rFonts w:ascii="黑体" w:eastAsia="黑体" w:hAnsi="黑体"/>
          <w:color w:val="auto"/>
          <w:sz w:val="18"/>
          <w:szCs w:val="18"/>
        </w:rPr>
      </w:pPr>
      <w:r>
        <w:rPr>
          <w:rFonts w:ascii="黑体" w:eastAsia="黑体" w:hAnsi="黑体" w:hint="eastAsia"/>
          <w:color w:val="auto"/>
          <w:sz w:val="18"/>
          <w:szCs w:val="18"/>
        </w:rPr>
        <w:t>若因相关法律法规以及监管部门有规定，需要调整估值方法的，管理人应按相关规定要求使用调整后</w:t>
      </w:r>
      <w:r>
        <w:rPr>
          <w:rFonts w:ascii="黑体" w:eastAsia="黑体" w:hAnsi="黑体" w:hint="eastAsia"/>
          <w:color w:val="auto"/>
          <w:sz w:val="18"/>
          <w:szCs w:val="18"/>
        </w:rPr>
        <w:lastRenderedPageBreak/>
        <w:t>的估值方法进行估值。</w:t>
      </w:r>
    </w:p>
    <w:p w:rsidR="0089074A" w:rsidRDefault="00185114">
      <w:pPr>
        <w:pStyle w:val="Default"/>
        <w:spacing w:line="360" w:lineRule="auto"/>
        <w:ind w:firstLineChars="200" w:firstLine="361"/>
        <w:rPr>
          <w:rFonts w:asciiTheme="minorEastAsia" w:eastAsiaTheme="minorEastAsia" w:hAnsiTheme="minorEastAsia"/>
          <w:b/>
          <w:color w:val="auto"/>
          <w:sz w:val="18"/>
          <w:szCs w:val="18"/>
        </w:rPr>
      </w:pPr>
      <w:r>
        <w:rPr>
          <w:rFonts w:asciiTheme="minorEastAsia" w:eastAsiaTheme="minorEastAsia" w:hAnsiTheme="minorEastAsia" w:hint="eastAsia"/>
          <w:b/>
          <w:color w:val="auto"/>
          <w:sz w:val="18"/>
          <w:szCs w:val="18"/>
        </w:rPr>
        <w:t>（五）估值程序</w:t>
      </w:r>
    </w:p>
    <w:p w:rsidR="0089074A" w:rsidRDefault="00185114">
      <w:pPr>
        <w:pStyle w:val="Default"/>
        <w:spacing w:line="360" w:lineRule="auto"/>
        <w:ind w:firstLineChars="200" w:firstLine="360"/>
        <w:rPr>
          <w:rFonts w:asciiTheme="minorEastAsia" w:eastAsiaTheme="minorEastAsia" w:hAnsiTheme="minorEastAsia"/>
          <w:bCs/>
          <w:color w:val="auto"/>
          <w:sz w:val="18"/>
          <w:szCs w:val="18"/>
        </w:rPr>
      </w:pPr>
      <w:r>
        <w:rPr>
          <w:rFonts w:asciiTheme="minorEastAsia" w:eastAsiaTheme="minorEastAsia" w:hAnsiTheme="minorEastAsia"/>
          <w:color w:val="auto"/>
          <w:sz w:val="18"/>
          <w:szCs w:val="18"/>
        </w:rPr>
        <w:t>1.</w:t>
      </w:r>
      <w:r>
        <w:rPr>
          <w:rFonts w:asciiTheme="minorEastAsia" w:eastAsiaTheme="minorEastAsia" w:hAnsiTheme="minorEastAsia" w:hint="eastAsia"/>
          <w:color w:val="auto"/>
          <w:sz w:val="18"/>
          <w:szCs w:val="18"/>
        </w:rPr>
        <w:t>产品份额净值是按照估值日产品资产净值除以当日产品总份额计算，</w:t>
      </w:r>
      <w:r>
        <w:rPr>
          <w:rFonts w:asciiTheme="minorEastAsia" w:eastAsiaTheme="minorEastAsia" w:hAnsiTheme="minorEastAsia"/>
          <w:bCs/>
          <w:color w:val="auto"/>
          <w:sz w:val="18"/>
          <w:szCs w:val="18"/>
        </w:rPr>
        <w:t>四舍五入保留5位小数</w:t>
      </w:r>
      <w:r>
        <w:rPr>
          <w:rFonts w:asciiTheme="minorEastAsia" w:eastAsiaTheme="minorEastAsia" w:hAnsiTheme="minorEastAsia" w:hint="eastAsia"/>
          <w:color w:val="auto"/>
          <w:sz w:val="18"/>
          <w:szCs w:val="18"/>
        </w:rPr>
        <w:t>。国家另有规定的，从其规定。</w:t>
      </w:r>
      <w:r>
        <w:rPr>
          <w:rFonts w:asciiTheme="minorEastAsia" w:eastAsiaTheme="minorEastAsia" w:hAnsiTheme="minorEastAsia" w:hint="eastAsia"/>
          <w:bCs/>
          <w:color w:val="auto"/>
          <w:sz w:val="18"/>
          <w:szCs w:val="18"/>
        </w:rPr>
        <w:t>发生巨额赎回时，为保护投资者利益，产品管理人可提高单位产品净值的精度。</w:t>
      </w:r>
    </w:p>
    <w:p w:rsidR="0089074A" w:rsidRDefault="00185114">
      <w:pPr>
        <w:pStyle w:val="Default"/>
        <w:spacing w:line="360" w:lineRule="auto"/>
        <w:ind w:firstLineChars="200" w:firstLine="360"/>
        <w:rPr>
          <w:rFonts w:asciiTheme="minorEastAsia" w:eastAsiaTheme="minorEastAsia" w:hAnsiTheme="minorEastAsia"/>
          <w:sz w:val="18"/>
          <w:szCs w:val="18"/>
        </w:rPr>
      </w:pPr>
      <w:r>
        <w:rPr>
          <w:rFonts w:asciiTheme="minorEastAsia" w:eastAsiaTheme="minorEastAsia" w:hAnsiTheme="minorEastAsia"/>
          <w:sz w:val="18"/>
          <w:szCs w:val="18"/>
        </w:rPr>
        <w:t xml:space="preserve">2.产品管理人对理财资产估值后，将产品份额净值发送产品托管人，经产品托管人复核无误后，由产品管理人按规定对外公布。 </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color w:val="auto"/>
          <w:sz w:val="18"/>
          <w:szCs w:val="18"/>
        </w:rPr>
        <w:t xml:space="preserve">3. </w:t>
      </w:r>
      <w:r>
        <w:rPr>
          <w:rFonts w:asciiTheme="minorEastAsia" w:eastAsiaTheme="minorEastAsia" w:hAnsiTheme="minorEastAsia" w:hint="eastAsia"/>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rsidR="0089074A" w:rsidRDefault="00185114">
      <w:pPr>
        <w:pStyle w:val="Default"/>
        <w:spacing w:line="360" w:lineRule="auto"/>
        <w:ind w:firstLineChars="200" w:firstLine="361"/>
        <w:rPr>
          <w:rFonts w:asciiTheme="minorEastAsia" w:eastAsiaTheme="minorEastAsia" w:hAnsiTheme="minorEastAsia" w:cs="Times New Roman"/>
          <w:b/>
          <w:color w:val="auto"/>
          <w:sz w:val="18"/>
          <w:szCs w:val="18"/>
        </w:rPr>
      </w:pPr>
      <w:r>
        <w:rPr>
          <w:rFonts w:asciiTheme="minorEastAsia" w:eastAsiaTheme="minorEastAsia" w:hAnsiTheme="minorEastAsia" w:cs="Times New Roman" w:hint="eastAsia"/>
          <w:b/>
          <w:color w:val="auto"/>
          <w:sz w:val="18"/>
          <w:szCs w:val="18"/>
        </w:rPr>
        <w:t>（六）估值主体</w:t>
      </w:r>
    </w:p>
    <w:p w:rsidR="0089074A" w:rsidRDefault="00185114">
      <w:pPr>
        <w:pStyle w:val="Default"/>
        <w:spacing w:line="360" w:lineRule="auto"/>
        <w:ind w:firstLineChars="200" w:firstLine="360"/>
        <w:rPr>
          <w:rFonts w:asciiTheme="minorEastAsia" w:eastAsiaTheme="minorEastAsia" w:hAnsiTheme="minorEastAsia"/>
          <w:color w:val="auto"/>
          <w:sz w:val="18"/>
          <w:szCs w:val="18"/>
        </w:rPr>
      </w:pPr>
      <w:r>
        <w:rPr>
          <w:rFonts w:asciiTheme="minorEastAsia" w:eastAsiaTheme="minorEastAsia" w:hAnsiTheme="minorEastAsia" w:hint="eastAsia"/>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rsidR="0089074A" w:rsidRDefault="00185114">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（七）★暂停估值</w:t>
      </w:r>
    </w:p>
    <w:p w:rsidR="0089074A" w:rsidRDefault="00185114">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当发生以下情况时，产品管理人可暂停估值。估值条件恢复时，将按规定完成估值工作：</w:t>
      </w:r>
    </w:p>
    <w:p w:rsidR="0089074A" w:rsidRDefault="00185114">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1.理财产品投资涉及的交易市场遇法定节假日或其他原因暂停营业时；</w:t>
      </w:r>
    </w:p>
    <w:p w:rsidR="0089074A" w:rsidRDefault="00185114">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2.因任何不可抗力致使理财产品管理人、托管人无法准确评估资产价值时；</w:t>
      </w:r>
    </w:p>
    <w:p w:rsidR="0089074A" w:rsidRDefault="00185114">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3.开放式理财产品在前一估值日内理财产品资产净值50%以上的资产不具备活跃交易市场或者在活跃市场中无报价，且不能采用估值技术可靠计量公允价值的；</w:t>
      </w:r>
    </w:p>
    <w:p w:rsidR="0089074A" w:rsidRDefault="00185114">
      <w:pPr>
        <w:pStyle w:val="Default"/>
        <w:spacing w:line="360" w:lineRule="auto"/>
        <w:ind w:firstLineChars="200" w:firstLine="360"/>
        <w:rPr>
          <w:rFonts w:ascii="黑体" w:eastAsia="黑体" w:hAnsi="黑体"/>
          <w:sz w:val="18"/>
          <w:szCs w:val="18"/>
        </w:rPr>
      </w:pPr>
      <w:r>
        <w:rPr>
          <w:rFonts w:ascii="黑体" w:eastAsia="黑体" w:hAnsi="黑体" w:hint="eastAsia"/>
          <w:sz w:val="18"/>
          <w:szCs w:val="18"/>
        </w:rPr>
        <w:t>4.监管机构规定的其他情形。</w:t>
      </w:r>
    </w:p>
    <w:p w:rsidR="0089074A" w:rsidRDefault="00185114">
      <w:pPr>
        <w:widowControl/>
        <w:spacing w:line="360" w:lineRule="auto"/>
        <w:jc w:val="left"/>
        <w:rPr>
          <w:rFonts w:ascii="宋体" w:hAnsi="宋体"/>
          <w:kern w:val="0"/>
          <w:sz w:val="18"/>
          <w:szCs w:val="18"/>
        </w:rPr>
      </w:pPr>
      <w:r>
        <w:rPr>
          <w:rFonts w:hAnsi="宋体"/>
          <w:sz w:val="18"/>
          <w:szCs w:val="18"/>
        </w:rPr>
        <w:br w:type="page"/>
      </w:r>
    </w:p>
    <w:p w:rsidR="0089074A" w:rsidRDefault="00185114">
      <w:pPr>
        <w:pStyle w:val="1"/>
        <w:spacing w:before="0" w:after="0" w:line="360" w:lineRule="auto"/>
        <w:ind w:left="60" w:firstLine="10"/>
        <w:jc w:val="center"/>
        <w:rPr>
          <w:rFonts w:ascii="Times New Roman"/>
          <w:sz w:val="30"/>
        </w:rPr>
      </w:pPr>
      <w:bookmarkStart w:id="80" w:name="_Hlt70481650"/>
      <w:bookmarkStart w:id="81" w:name="_Toc31644"/>
      <w:bookmarkStart w:id="82" w:name="_Toc139991737"/>
      <w:bookmarkStart w:id="83" w:name="_Toc3601"/>
      <w:bookmarkStart w:id="84" w:name="_Toc123051453"/>
      <w:bookmarkStart w:id="85" w:name="_Toc15143"/>
      <w:bookmarkStart w:id="86" w:name="_Toc123102454"/>
      <w:bookmarkStart w:id="87" w:name="_Toc12245"/>
      <w:bookmarkStart w:id="88" w:name="_Toc123112235"/>
      <w:bookmarkStart w:id="89" w:name="_Toc31653"/>
      <w:bookmarkStart w:id="90" w:name="_Toc92377137"/>
      <w:bookmarkStart w:id="91" w:name="_Toc6405"/>
      <w:bookmarkStart w:id="92" w:name="_Toc29251"/>
      <w:bookmarkStart w:id="93" w:name="_Toc74065744"/>
      <w:bookmarkStart w:id="94" w:name="_Toc14835"/>
      <w:bookmarkStart w:id="95" w:name="_Toc98560353"/>
      <w:bookmarkStart w:id="96" w:name="_Toc103260535"/>
      <w:bookmarkStart w:id="97" w:name="_Toc31235"/>
      <w:bookmarkStart w:id="98" w:name="_Toc141703887"/>
      <w:bookmarkStart w:id="99" w:name="_Toc18706"/>
      <w:bookmarkStart w:id="100" w:name="_Toc79154671"/>
      <w:bookmarkStart w:id="101" w:name="_Toc26207"/>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Pr>
          <w:rFonts w:ascii="Times New Roman"/>
          <w:sz w:val="30"/>
        </w:rPr>
        <w:lastRenderedPageBreak/>
        <w:t>第</w:t>
      </w:r>
      <w:r>
        <w:rPr>
          <w:rFonts w:ascii="Times New Roman" w:hint="eastAsia"/>
          <w:sz w:val="30"/>
        </w:rPr>
        <w:t>八条</w:t>
      </w:r>
      <w:r>
        <w:rPr>
          <w:rFonts w:ascii="Times New Roman"/>
          <w:sz w:val="30"/>
        </w:rPr>
        <w:t xml:space="preserve">  </w:t>
      </w:r>
      <w:r>
        <w:rPr>
          <w:rFonts w:ascii="Times New Roman" w:hint="eastAsia"/>
          <w:sz w:val="30"/>
        </w:rPr>
        <w:t>理财产品的利益分配</w:t>
      </w:r>
      <w:bookmarkStart w:id="102" w:name="_Hlt55355235"/>
      <w:bookmarkStart w:id="103" w:name="_Toc15118234"/>
      <w:bookmarkStart w:id="104" w:name="_Toc523711668"/>
      <w:bookmarkStart w:id="105" w:name="_Toc57530239"/>
      <w:bookmarkStart w:id="106" w:name="_Toc793925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rsidR="0089074A" w:rsidRDefault="00185114">
      <w:pPr>
        <w:pStyle w:val="Default"/>
        <w:spacing w:line="360" w:lineRule="auto"/>
        <w:ind w:firstLineChars="200" w:firstLine="361"/>
        <w:rPr>
          <w:rFonts w:hAnsi="宋体"/>
          <w:b/>
          <w:color w:val="auto"/>
          <w:sz w:val="18"/>
          <w:szCs w:val="18"/>
        </w:rPr>
      </w:pPr>
      <w:r>
        <w:rPr>
          <w:rFonts w:hAnsi="宋体" w:hint="eastAsia"/>
          <w:b/>
          <w:color w:val="auto"/>
          <w:sz w:val="18"/>
          <w:szCs w:val="18"/>
        </w:rPr>
        <w:t>（一）理财利益的分配类型</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1. 依据分配时点，理财利益的分配可分为“期间分配”与“终止分配”。</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2. 依据分配方式，理财利益的分配可分为“现金分配”与“非现金分配”。</w:t>
      </w:r>
    </w:p>
    <w:p w:rsidR="0089074A" w:rsidRDefault="00185114">
      <w:pPr>
        <w:pStyle w:val="Default"/>
        <w:spacing w:line="360" w:lineRule="auto"/>
        <w:ind w:firstLineChars="200" w:firstLine="361"/>
        <w:rPr>
          <w:rFonts w:hAnsi="宋体"/>
          <w:color w:val="auto"/>
          <w:sz w:val="18"/>
          <w:szCs w:val="18"/>
        </w:rPr>
      </w:pPr>
      <w:r>
        <w:rPr>
          <w:rFonts w:hAnsi="宋体" w:hint="eastAsia"/>
          <w:b/>
          <w:color w:val="auto"/>
          <w:sz w:val="18"/>
          <w:szCs w:val="18"/>
        </w:rPr>
        <w:t>（二）理财利益的分配原则</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 xml:space="preserve">1.本产品利益分配应遵循下列原则： </w:t>
      </w:r>
    </w:p>
    <w:p w:rsidR="0089074A" w:rsidRDefault="00185114">
      <w:pPr>
        <w:pStyle w:val="Default"/>
        <w:spacing w:line="360" w:lineRule="auto"/>
        <w:ind w:firstLineChars="200" w:firstLine="360"/>
        <w:rPr>
          <w:rFonts w:hAnsi="宋体"/>
          <w:color w:val="auto"/>
          <w:sz w:val="18"/>
          <w:szCs w:val="18"/>
        </w:rPr>
      </w:pPr>
      <w:r>
        <w:rPr>
          <w:rFonts w:hAnsi="宋体"/>
          <w:color w:val="auto"/>
          <w:sz w:val="18"/>
          <w:szCs w:val="18"/>
        </w:rPr>
        <w:t>每一</w:t>
      </w:r>
      <w:r>
        <w:rPr>
          <w:rFonts w:hAnsi="宋体" w:hint="eastAsia"/>
          <w:color w:val="auto"/>
          <w:sz w:val="18"/>
          <w:szCs w:val="18"/>
        </w:rPr>
        <w:t>产品</w:t>
      </w:r>
      <w:r>
        <w:rPr>
          <w:rFonts w:hAnsi="宋体"/>
          <w:color w:val="auto"/>
          <w:sz w:val="18"/>
          <w:szCs w:val="18"/>
        </w:rPr>
        <w:t>份额享有同等分配权</w:t>
      </w:r>
      <w:r>
        <w:rPr>
          <w:rFonts w:hAnsi="宋体" w:hint="eastAsia"/>
          <w:color w:val="auto"/>
          <w:sz w:val="18"/>
          <w:szCs w:val="18"/>
        </w:rPr>
        <w:t>。</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2.</w:t>
      </w:r>
      <w:r>
        <w:rPr>
          <w:rFonts w:hAnsi="宋体"/>
          <w:color w:val="auto"/>
          <w:sz w:val="18"/>
          <w:szCs w:val="18"/>
        </w:rPr>
        <w:t>在不违反法律法规、</w:t>
      </w:r>
      <w:r>
        <w:rPr>
          <w:rFonts w:hAnsi="宋体" w:hint="eastAsia"/>
          <w:color w:val="auto"/>
          <w:sz w:val="18"/>
          <w:szCs w:val="18"/>
        </w:rPr>
        <w:t>理财产品销售文件</w:t>
      </w:r>
      <w:r>
        <w:rPr>
          <w:rFonts w:hAnsi="宋体"/>
          <w:color w:val="auto"/>
          <w:sz w:val="18"/>
          <w:szCs w:val="18"/>
        </w:rPr>
        <w:t>约定以及对份额持有人</w:t>
      </w:r>
      <w:r>
        <w:rPr>
          <w:rFonts w:hAnsi="宋体" w:hint="eastAsia"/>
          <w:color w:val="auto"/>
          <w:sz w:val="18"/>
          <w:szCs w:val="18"/>
        </w:rPr>
        <w:t>权益</w:t>
      </w:r>
      <w:r>
        <w:rPr>
          <w:rFonts w:hAnsi="宋体"/>
          <w:color w:val="auto"/>
          <w:sz w:val="18"/>
          <w:szCs w:val="18"/>
        </w:rPr>
        <w:t>无实质性不利影响的情况下，</w:t>
      </w:r>
      <w:r>
        <w:rPr>
          <w:rFonts w:asciiTheme="majorEastAsia" w:eastAsiaTheme="majorEastAsia" w:hAnsiTheme="majorEastAsia" w:hint="eastAsia"/>
          <w:bCs/>
          <w:color w:val="auto"/>
          <w:sz w:val="18"/>
          <w:szCs w:val="18"/>
        </w:rPr>
        <w:t>产品管理人</w:t>
      </w:r>
      <w:r>
        <w:rPr>
          <w:rFonts w:hAnsi="宋体"/>
          <w:color w:val="auto"/>
          <w:sz w:val="18"/>
          <w:szCs w:val="18"/>
        </w:rPr>
        <w:t>可调整</w:t>
      </w:r>
      <w:r>
        <w:rPr>
          <w:rFonts w:hAnsi="宋体" w:hint="eastAsia"/>
          <w:color w:val="auto"/>
          <w:sz w:val="18"/>
          <w:szCs w:val="18"/>
        </w:rPr>
        <w:t>本产品</w:t>
      </w:r>
      <w:r>
        <w:rPr>
          <w:rFonts w:hAnsi="宋体"/>
          <w:color w:val="auto"/>
          <w:sz w:val="18"/>
          <w:szCs w:val="18"/>
        </w:rPr>
        <w:t>利益的分配原则和支付方式</w:t>
      </w:r>
      <w:r>
        <w:rPr>
          <w:rFonts w:hAnsi="宋体" w:hint="eastAsia"/>
          <w:color w:val="auto"/>
          <w:sz w:val="18"/>
          <w:szCs w:val="18"/>
        </w:rPr>
        <w:t>。法律法规或监管机构另有规定的从其规定。</w:t>
      </w:r>
    </w:p>
    <w:p w:rsidR="0089074A" w:rsidRDefault="00185114">
      <w:pPr>
        <w:pStyle w:val="Default"/>
        <w:spacing w:line="360" w:lineRule="auto"/>
        <w:ind w:firstLineChars="200" w:firstLine="361"/>
        <w:rPr>
          <w:rFonts w:hAnsi="宋体"/>
          <w:b/>
          <w:bCs/>
          <w:color w:val="auto"/>
          <w:sz w:val="18"/>
          <w:szCs w:val="18"/>
        </w:rPr>
      </w:pPr>
      <w:r>
        <w:rPr>
          <w:rFonts w:hAnsi="宋体" w:hint="eastAsia"/>
          <w:b/>
          <w:bCs/>
          <w:color w:val="auto"/>
          <w:sz w:val="18"/>
          <w:szCs w:val="18"/>
        </w:rPr>
        <w:t>（三）理财利益的分配方案</w:t>
      </w:r>
    </w:p>
    <w:p w:rsidR="0089074A" w:rsidRDefault="00185114">
      <w:pPr>
        <w:pStyle w:val="Default"/>
        <w:spacing w:line="360" w:lineRule="auto"/>
        <w:ind w:firstLineChars="200" w:firstLine="361"/>
        <w:rPr>
          <w:rFonts w:hAnsi="宋体"/>
          <w:b/>
          <w:bCs/>
          <w:color w:val="auto"/>
          <w:sz w:val="18"/>
          <w:szCs w:val="18"/>
        </w:rPr>
      </w:pPr>
      <w:permStart w:id="1624340446" w:edGrp="everyone"/>
      <w:r>
        <w:rPr>
          <w:rFonts w:hAnsi="宋体" w:hint="eastAsia"/>
          <w:b/>
          <w:bCs/>
          <w:color w:val="auto"/>
          <w:sz w:val="18"/>
          <w:szCs w:val="18"/>
        </w:rPr>
        <w:t>1.分配方案要点：</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（1）本产品的分配时点包括“期间分配”和“终止分配”。</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（2）本产品的分配方式仅采取“现金分配”。</w:t>
      </w:r>
    </w:p>
    <w:p w:rsidR="0089074A" w:rsidRDefault="00185114">
      <w:pPr>
        <w:pStyle w:val="Default"/>
        <w:spacing w:line="360" w:lineRule="auto"/>
        <w:ind w:firstLineChars="200" w:firstLine="360"/>
        <w:rPr>
          <w:rFonts w:hAnsi="宋体"/>
          <w:color w:val="auto"/>
          <w:sz w:val="18"/>
          <w:szCs w:val="18"/>
        </w:rPr>
      </w:pPr>
      <w:r>
        <w:rPr>
          <w:rFonts w:hAnsi="宋体"/>
          <w:color w:val="auto"/>
          <w:sz w:val="18"/>
          <w:szCs w:val="18"/>
        </w:rPr>
        <w:t>2.具体理财利益分配方案由产品管理人拟定，并由产品托管人复核后确定。</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3.理财产品存续期间，产品管理人</w:t>
      </w:r>
      <w:r>
        <w:rPr>
          <w:rFonts w:hAnsi="宋体"/>
          <w:color w:val="auto"/>
          <w:sz w:val="18"/>
          <w:szCs w:val="18"/>
        </w:rPr>
        <w:t>有权视理财产品</w:t>
      </w:r>
      <w:r>
        <w:rPr>
          <w:rFonts w:hAnsi="宋体" w:hint="eastAsia"/>
          <w:color w:val="auto"/>
          <w:sz w:val="18"/>
          <w:szCs w:val="18"/>
        </w:rPr>
        <w:t>收益情况</w:t>
      </w:r>
      <w:r>
        <w:rPr>
          <w:rFonts w:hAnsi="宋体"/>
          <w:color w:val="auto"/>
          <w:sz w:val="18"/>
          <w:szCs w:val="18"/>
        </w:rPr>
        <w:t>进行主动分配，相应分配基准日、分配方案由管理人</w:t>
      </w:r>
      <w:r>
        <w:rPr>
          <w:rFonts w:hAnsi="宋体" w:hint="eastAsia"/>
          <w:color w:val="auto"/>
          <w:sz w:val="18"/>
          <w:szCs w:val="18"/>
        </w:rPr>
        <w:t>及时</w:t>
      </w:r>
      <w:r>
        <w:rPr>
          <w:rFonts w:hAnsi="宋体"/>
          <w:color w:val="auto"/>
          <w:sz w:val="18"/>
          <w:szCs w:val="18"/>
        </w:rPr>
        <w:t>披露。</w:t>
      </w:r>
    </w:p>
    <w:permEnd w:id="1624340446"/>
    <w:p w:rsidR="0089074A" w:rsidRDefault="00185114">
      <w:pPr>
        <w:spacing w:line="360" w:lineRule="auto"/>
        <w:ind w:firstLine="360"/>
        <w:rPr>
          <w:rFonts w:ascii="宋体" w:hAnsi="宋体"/>
          <w:b/>
          <w:sz w:val="18"/>
          <w:szCs w:val="18"/>
        </w:rPr>
      </w:pPr>
      <w:r>
        <w:rPr>
          <w:rFonts w:ascii="宋体" w:hAnsi="宋体" w:hint="eastAsia"/>
          <w:b/>
          <w:kern w:val="0"/>
          <w:sz w:val="18"/>
          <w:szCs w:val="18"/>
        </w:rPr>
        <w:t>（四）理财利益的分配</w:t>
      </w:r>
    </w:p>
    <w:p w:rsidR="0089074A" w:rsidRDefault="00185114">
      <w:pPr>
        <w:pStyle w:val="Default"/>
        <w:spacing w:line="360" w:lineRule="auto"/>
        <w:ind w:firstLineChars="200" w:firstLine="360"/>
        <w:rPr>
          <w:rFonts w:hAnsi="宋体"/>
          <w:color w:val="auto"/>
          <w:sz w:val="18"/>
          <w:szCs w:val="18"/>
        </w:rPr>
      </w:pPr>
      <w:permStart w:id="1610483237" w:edGrp="everyone"/>
      <w:r>
        <w:rPr>
          <w:rFonts w:hAnsi="宋体" w:hint="eastAsia"/>
          <w:color w:val="auto"/>
          <w:sz w:val="18"/>
          <w:szCs w:val="18"/>
        </w:rPr>
        <w:t>1.理财利益的分配日</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（1）若为期间分配的，原则上产品管理人应于分配基准日后【5】个工作日内分配理财利益（如有）。</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（2）若为终止分配的，产品管理人应按“第十条 理财产品的终止与清算”中产品清算期的相关约定向投资者分配理财利益（如有）。</w:t>
      </w:r>
    </w:p>
    <w:p w:rsidR="0089074A" w:rsidRDefault="00185114">
      <w:pPr>
        <w:pStyle w:val="Default"/>
        <w:spacing w:line="360" w:lineRule="auto"/>
        <w:ind w:firstLineChars="200" w:firstLine="360"/>
        <w:rPr>
          <w:rFonts w:hAnsi="宋体"/>
          <w:color w:val="auto"/>
          <w:sz w:val="18"/>
          <w:szCs w:val="18"/>
        </w:rPr>
      </w:pPr>
      <w:r>
        <w:rPr>
          <w:rFonts w:hAnsi="宋体" w:hint="eastAsia"/>
          <w:color w:val="auto"/>
          <w:sz w:val="18"/>
          <w:szCs w:val="18"/>
        </w:rPr>
        <w:t>2</w:t>
      </w:r>
      <w:r>
        <w:rPr>
          <w:rFonts w:hAnsi="宋体"/>
          <w:color w:val="auto"/>
          <w:sz w:val="18"/>
          <w:szCs w:val="18"/>
        </w:rPr>
        <w:t>.</w:t>
      </w:r>
      <w:r>
        <w:rPr>
          <w:rFonts w:hAnsi="宋体" w:hint="eastAsia"/>
          <w:color w:val="auto"/>
          <w:sz w:val="18"/>
          <w:szCs w:val="18"/>
        </w:rPr>
        <w:t>具体的理财利益分配以实际情况为准。</w:t>
      </w:r>
    </w:p>
    <w:permEnd w:id="1610483237"/>
    <w:p w:rsidR="0089074A" w:rsidRDefault="00185114">
      <w:pPr>
        <w:widowControl/>
        <w:spacing w:line="360" w:lineRule="auto"/>
        <w:jc w:val="left"/>
        <w:rPr>
          <w:rFonts w:ascii="宋体" w:hAnsi="宋体"/>
          <w:kern w:val="0"/>
          <w:sz w:val="18"/>
          <w:szCs w:val="18"/>
        </w:rPr>
      </w:pPr>
      <w:r>
        <w:rPr>
          <w:rFonts w:hAnsi="宋体"/>
          <w:sz w:val="18"/>
          <w:szCs w:val="18"/>
        </w:rPr>
        <w:br w:type="page"/>
      </w:r>
    </w:p>
    <w:p w:rsidR="0089074A" w:rsidRDefault="00185114">
      <w:pPr>
        <w:pStyle w:val="1"/>
        <w:spacing w:before="0" w:after="0" w:line="360" w:lineRule="auto"/>
        <w:jc w:val="center"/>
        <w:rPr>
          <w:rFonts w:ascii="Times New Roman"/>
          <w:sz w:val="30"/>
        </w:rPr>
      </w:pPr>
      <w:bookmarkStart w:id="107" w:name="_Hlt88825574"/>
      <w:bookmarkStart w:id="108" w:name="_Hlt88897298"/>
      <w:bookmarkStart w:id="109" w:name="_Toc98560354"/>
      <w:bookmarkStart w:id="110" w:name="_Toc25783"/>
      <w:bookmarkStart w:id="111" w:name="_Toc3321"/>
      <w:bookmarkStart w:id="112" w:name="_Toc9706"/>
      <w:bookmarkStart w:id="113" w:name="_Toc11030"/>
      <w:bookmarkStart w:id="114" w:name="_Toc79392583"/>
      <w:bookmarkStart w:id="115" w:name="_Toc18567"/>
      <w:bookmarkStart w:id="116" w:name="_Toc3771"/>
      <w:bookmarkStart w:id="117" w:name="_Toc139991738"/>
      <w:bookmarkStart w:id="118" w:name="_Toc123102455"/>
      <w:bookmarkStart w:id="119" w:name="_Toc6447"/>
      <w:bookmarkStart w:id="120" w:name="_Toc10650"/>
      <w:bookmarkStart w:id="121" w:name="_Toc92377138"/>
      <w:bookmarkStart w:id="122" w:name="_Toc79154672"/>
      <w:bookmarkStart w:id="123" w:name="_Toc7058"/>
      <w:bookmarkStart w:id="124" w:name="_Toc123051454"/>
      <w:bookmarkStart w:id="125" w:name="_Toc103260536"/>
      <w:bookmarkStart w:id="126" w:name="_Toc20951"/>
      <w:bookmarkStart w:id="127" w:name="_Toc123112236"/>
      <w:bookmarkStart w:id="128" w:name="_Toc141703888"/>
      <w:bookmarkStart w:id="129" w:name="_Toc74065745"/>
      <w:bookmarkStart w:id="130" w:name="_Toc4559"/>
      <w:bookmarkEnd w:id="103"/>
      <w:bookmarkEnd w:id="104"/>
      <w:bookmarkEnd w:id="105"/>
      <w:bookmarkEnd w:id="106"/>
      <w:bookmarkEnd w:id="107"/>
      <w:bookmarkEnd w:id="108"/>
      <w:r>
        <w:rPr>
          <w:rFonts w:ascii="Times New Roman"/>
          <w:sz w:val="30"/>
        </w:rPr>
        <w:lastRenderedPageBreak/>
        <w:t>第</w:t>
      </w:r>
      <w:r>
        <w:rPr>
          <w:rFonts w:ascii="Times New Roman" w:hint="eastAsia"/>
          <w:sz w:val="30"/>
        </w:rPr>
        <w:t>九条</w:t>
      </w:r>
      <w:r>
        <w:rPr>
          <w:rFonts w:ascii="Times New Roman"/>
          <w:sz w:val="30"/>
        </w:rPr>
        <w:t xml:space="preserve">  </w:t>
      </w:r>
      <w:r>
        <w:rPr>
          <w:rFonts w:ascii="Times New Roman" w:hint="eastAsia"/>
          <w:sz w:val="30"/>
        </w:rPr>
        <w:t>理财产品的费用与税收</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（一）理财产品的费用</w:t>
      </w:r>
    </w:p>
    <w:p w:rsidR="0089074A" w:rsidRDefault="00185114">
      <w:pPr>
        <w:widowControl/>
        <w:spacing w:line="360" w:lineRule="auto"/>
        <w:ind w:firstLineChars="200" w:firstLine="360"/>
        <w:jc w:val="left"/>
        <w:rPr>
          <w:rFonts w:hAnsi="宋体"/>
          <w:sz w:val="18"/>
          <w:szCs w:val="18"/>
        </w:rPr>
      </w:pPr>
      <w:r>
        <w:rPr>
          <w:rFonts w:ascii="宋体" w:hAnsi="宋体"/>
          <w:kern w:val="0"/>
          <w:sz w:val="18"/>
          <w:szCs w:val="18"/>
        </w:rPr>
        <w:t>1</w:t>
      </w:r>
      <w:r>
        <w:rPr>
          <w:rFonts w:ascii="宋体" w:hAnsi="宋体" w:hint="eastAsia"/>
          <w:kern w:val="0"/>
          <w:sz w:val="18"/>
          <w:szCs w:val="18"/>
        </w:rPr>
        <w:t>.</w:t>
      </w:r>
      <w:r>
        <w:rPr>
          <w:rFonts w:ascii="宋体" w:hAnsi="宋体"/>
          <w:kern w:val="0"/>
          <w:sz w:val="18"/>
          <w:szCs w:val="18"/>
        </w:rPr>
        <w:t>理财产品费用的种类</w:t>
      </w:r>
    </w:p>
    <w:p w:rsidR="0089074A" w:rsidRDefault="00185114">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1）理财产品的认购费、申购费、赎回费</w:t>
      </w:r>
      <w:r>
        <w:rPr>
          <w:rFonts w:ascii="宋体" w:hAnsi="宋体" w:hint="eastAsia"/>
          <w:kern w:val="0"/>
          <w:sz w:val="18"/>
          <w:szCs w:val="18"/>
        </w:rPr>
        <w:t>；</w:t>
      </w:r>
    </w:p>
    <w:p w:rsidR="0089074A" w:rsidRDefault="00185114">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2）理财产品的销售服务费</w:t>
      </w:r>
      <w:r>
        <w:rPr>
          <w:rFonts w:ascii="宋体" w:hAnsi="宋体" w:hint="eastAsia"/>
          <w:kern w:val="0"/>
          <w:sz w:val="18"/>
          <w:szCs w:val="18"/>
        </w:rPr>
        <w:t>；</w:t>
      </w:r>
    </w:p>
    <w:p w:rsidR="0089074A" w:rsidRDefault="00185114">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3）理财产品的投资管理费及超额业绩报酬；</w:t>
      </w:r>
    </w:p>
    <w:p w:rsidR="0089074A" w:rsidRDefault="00185114">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4</w:t>
      </w:r>
      <w:r>
        <w:rPr>
          <w:rFonts w:ascii="宋体" w:hAnsi="宋体" w:hint="eastAsia"/>
          <w:kern w:val="0"/>
          <w:sz w:val="18"/>
          <w:szCs w:val="18"/>
        </w:rPr>
        <w:t>）理财产品的产品托管费；</w:t>
      </w:r>
    </w:p>
    <w:p w:rsidR="0089074A" w:rsidRDefault="00185114">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5</w:t>
      </w:r>
      <w:r>
        <w:rPr>
          <w:rFonts w:ascii="宋体" w:hAnsi="宋体" w:hint="eastAsia"/>
          <w:kern w:val="0"/>
          <w:sz w:val="18"/>
          <w:szCs w:val="18"/>
        </w:rPr>
        <w:t>）理财产品的交易费用（包括但不限于证券交易费用、经纪费用等）；</w:t>
      </w:r>
    </w:p>
    <w:p w:rsidR="0089074A" w:rsidRDefault="00185114">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6</w:t>
      </w:r>
      <w:r>
        <w:rPr>
          <w:rFonts w:ascii="宋体" w:hAnsi="宋体" w:hint="eastAsia"/>
          <w:kern w:val="0"/>
          <w:sz w:val="18"/>
          <w:szCs w:val="18"/>
        </w:rPr>
        <w:t>）理财产品验资费、审计费、律师费、信息披露费、清算费、执行费用等相关费用；</w:t>
      </w:r>
    </w:p>
    <w:p w:rsidR="0089074A" w:rsidRDefault="00185114">
      <w:pPr>
        <w:widowControl/>
        <w:spacing w:line="360" w:lineRule="auto"/>
        <w:ind w:firstLineChars="200" w:firstLine="360"/>
        <w:jc w:val="left"/>
        <w:rPr>
          <w:rFonts w:hAnsi="宋体"/>
          <w:sz w:val="18"/>
          <w:szCs w:val="18"/>
        </w:rPr>
      </w:pPr>
      <w:r>
        <w:rPr>
          <w:rFonts w:ascii="宋体" w:hAnsi="宋体" w:hint="eastAsia"/>
          <w:kern w:val="0"/>
          <w:sz w:val="18"/>
          <w:szCs w:val="18"/>
        </w:rPr>
        <w:t>（</w:t>
      </w:r>
      <w:r>
        <w:rPr>
          <w:rFonts w:ascii="宋体" w:hAnsi="宋体"/>
          <w:kern w:val="0"/>
          <w:sz w:val="18"/>
          <w:szCs w:val="18"/>
        </w:rPr>
        <w:t>7</w:t>
      </w:r>
      <w:r>
        <w:rPr>
          <w:rFonts w:ascii="宋体" w:hAnsi="宋体" w:hint="eastAsia"/>
          <w:kern w:val="0"/>
          <w:sz w:val="18"/>
          <w:szCs w:val="18"/>
        </w:rPr>
        <w:t>）按照国家法律法规规定可以列入的其他费用。</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2.</w:t>
      </w:r>
      <w:r>
        <w:rPr>
          <w:rFonts w:ascii="宋体" w:hAnsi="宋体" w:hint="eastAsia"/>
          <w:kern w:val="0"/>
          <w:sz w:val="18"/>
          <w:szCs w:val="18"/>
        </w:rPr>
        <w:t>理财产品费用计提方法、计提标准和支付方式</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1</w:t>
      </w:r>
      <w:r>
        <w:rPr>
          <w:rFonts w:ascii="宋体" w:hAnsi="宋体" w:hint="eastAsia"/>
          <w:kern w:val="0"/>
          <w:sz w:val="18"/>
          <w:szCs w:val="18"/>
        </w:rPr>
        <w:t>）理财产品的认购费、申购费、赎回费</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1）认购费：</w:t>
      </w:r>
      <w:r>
        <w:rPr>
          <w:rFonts w:asciiTheme="majorEastAsia" w:eastAsiaTheme="majorEastAsia" w:hAnsiTheme="majorEastAsia"/>
          <w:bCs/>
          <w:sz w:val="18"/>
          <w:szCs w:val="18"/>
        </w:rPr>
        <w:t>费率</w:t>
      </w:r>
      <w:r>
        <w:rPr>
          <w:rFonts w:asciiTheme="majorEastAsia" w:eastAsiaTheme="majorEastAsia" w:hAnsiTheme="majorEastAsia" w:hint="eastAsia"/>
          <w:bCs/>
          <w:sz w:val="18"/>
          <w:szCs w:val="18"/>
        </w:rPr>
        <w:t>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bCs/>
          <w:sz w:val="18"/>
          <w:szCs w:val="18"/>
        </w:rPr>
        <w:t>为准</w:t>
      </w:r>
      <w:r>
        <w:rPr>
          <w:rFonts w:ascii="宋体" w:hAnsi="宋体"/>
          <w:kern w:val="0"/>
          <w:sz w:val="18"/>
          <w:szCs w:val="18"/>
        </w:rPr>
        <w:t>。</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2）申购费：</w:t>
      </w:r>
      <w:r>
        <w:rPr>
          <w:rFonts w:asciiTheme="majorEastAsia" w:eastAsiaTheme="majorEastAsia" w:hAnsiTheme="majorEastAsia"/>
          <w:bCs/>
          <w:sz w:val="18"/>
          <w:szCs w:val="18"/>
        </w:rPr>
        <w:t>费率</w:t>
      </w:r>
      <w:r>
        <w:rPr>
          <w:rFonts w:asciiTheme="majorEastAsia" w:eastAsiaTheme="majorEastAsia" w:hAnsiTheme="majorEastAsia" w:hint="eastAsia"/>
          <w:bCs/>
          <w:sz w:val="18"/>
          <w:szCs w:val="18"/>
        </w:rPr>
        <w:t>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bCs/>
          <w:sz w:val="18"/>
          <w:szCs w:val="18"/>
        </w:rPr>
        <w:t>为准</w:t>
      </w:r>
      <w:r>
        <w:rPr>
          <w:rFonts w:ascii="宋体" w:hAnsi="宋体" w:hint="eastAsia"/>
          <w:kern w:val="0"/>
          <w:sz w:val="18"/>
          <w:szCs w:val="18"/>
        </w:rPr>
        <w:t>。</w:t>
      </w:r>
    </w:p>
    <w:p w:rsidR="0089074A" w:rsidRDefault="00185114">
      <w:pPr>
        <w:widowControl/>
        <w:spacing w:line="360" w:lineRule="auto"/>
        <w:ind w:firstLineChars="200" w:firstLine="360"/>
        <w:jc w:val="left"/>
        <w:rPr>
          <w:rStyle w:val="af3"/>
          <w:rFonts w:ascii="宋体" w:hAnsi="宋体"/>
          <w:kern w:val="0"/>
        </w:rPr>
      </w:pPr>
      <w:r>
        <w:rPr>
          <w:rFonts w:ascii="宋体" w:hAnsi="宋体"/>
          <w:kern w:val="0"/>
          <w:sz w:val="18"/>
          <w:szCs w:val="18"/>
        </w:rPr>
        <w:t>3</w:t>
      </w:r>
      <w:r>
        <w:rPr>
          <w:rFonts w:ascii="宋体" w:hAnsi="宋体" w:hint="eastAsia"/>
          <w:kern w:val="0"/>
          <w:sz w:val="18"/>
          <w:szCs w:val="18"/>
        </w:rPr>
        <w:t>）赎回费：</w:t>
      </w:r>
      <w:r>
        <w:rPr>
          <w:rFonts w:asciiTheme="majorEastAsia" w:eastAsiaTheme="majorEastAsia" w:hAnsiTheme="majorEastAsia"/>
          <w:bCs/>
          <w:sz w:val="18"/>
          <w:szCs w:val="18"/>
        </w:rPr>
        <w:t>费率</w:t>
      </w:r>
      <w:r>
        <w:rPr>
          <w:rFonts w:asciiTheme="majorEastAsia" w:eastAsiaTheme="majorEastAsia" w:hAnsiTheme="majorEastAsia" w:hint="eastAsia"/>
          <w:bCs/>
          <w:sz w:val="18"/>
          <w:szCs w:val="18"/>
        </w:rPr>
        <w:t>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bCs/>
          <w:sz w:val="18"/>
          <w:szCs w:val="18"/>
        </w:rPr>
        <w:t>为准</w:t>
      </w:r>
      <w:r>
        <w:rPr>
          <w:rFonts w:ascii="宋体" w:hAnsi="宋体" w:hint="eastAsia"/>
          <w:kern w:val="0"/>
          <w:sz w:val="18"/>
          <w:szCs w:val="18"/>
        </w:rPr>
        <w:t>。</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2）</w:t>
      </w:r>
      <w:r>
        <w:rPr>
          <w:rFonts w:ascii="宋体" w:hAnsi="宋体" w:hint="eastAsia"/>
          <w:kern w:val="0"/>
          <w:sz w:val="18"/>
          <w:szCs w:val="18"/>
        </w:rPr>
        <w:t>理财产品的销售服务费</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本产品的销售服务费按前一日理财资产净值与销售服务费每日费率每日计提。销售服务费的计算方法如下：</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H＝E×销售服务费年费率÷</w:t>
      </w:r>
      <w:r>
        <w:rPr>
          <w:rFonts w:ascii="宋体" w:hAnsi="宋体" w:hint="eastAsia"/>
          <w:kern w:val="0"/>
          <w:sz w:val="18"/>
          <w:szCs w:val="18"/>
        </w:rPr>
        <w:t>3</w:t>
      </w:r>
      <w:r>
        <w:rPr>
          <w:rFonts w:ascii="宋体" w:hAnsi="宋体"/>
          <w:kern w:val="0"/>
          <w:sz w:val="18"/>
          <w:szCs w:val="18"/>
        </w:rPr>
        <w:t>65</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H为每日应计提的销售服务费</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E为前一日的理财资产净值</w:t>
      </w:r>
    </w:p>
    <w:p w:rsidR="0089074A" w:rsidRDefault="00185114">
      <w:pPr>
        <w:pStyle w:val="Default"/>
        <w:spacing w:line="360" w:lineRule="auto"/>
        <w:ind w:firstLineChars="200" w:firstLine="360"/>
        <w:rPr>
          <w:rFonts w:asciiTheme="majorEastAsia" w:eastAsiaTheme="majorEastAsia" w:hAnsiTheme="majorEastAsia"/>
          <w:color w:val="auto"/>
          <w:kern w:val="2"/>
          <w:sz w:val="18"/>
          <w:szCs w:val="18"/>
        </w:rPr>
      </w:pPr>
      <w:r>
        <w:rPr>
          <w:rFonts w:hAnsi="宋体" w:hint="eastAsia"/>
          <w:color w:val="auto"/>
          <w:sz w:val="18"/>
          <w:szCs w:val="18"/>
        </w:rPr>
        <w:t>销售服务费依照上述约定，从理财财产中支付。</w:t>
      </w:r>
      <w:r>
        <w:rPr>
          <w:rFonts w:asciiTheme="majorEastAsia" w:eastAsiaTheme="majorEastAsia" w:hAnsiTheme="majorEastAsia" w:hint="eastAsia"/>
          <w:color w:val="auto"/>
          <w:kern w:val="2"/>
          <w:sz w:val="18"/>
          <w:szCs w:val="18"/>
        </w:rPr>
        <w:t>费率具体数值以</w:t>
      </w:r>
      <w:r>
        <w:rPr>
          <w:rFonts w:asciiTheme="minorEastAsia" w:eastAsiaTheme="minorEastAsia" w:hAnsiTheme="minorEastAsia" w:hint="eastAsia"/>
          <w:color w:val="auto"/>
          <w:sz w:val="18"/>
          <w:szCs w:val="18"/>
        </w:rPr>
        <w:t>《产品说明书》“第二条 理财产品基本情况”</w:t>
      </w:r>
      <w:r>
        <w:rPr>
          <w:rFonts w:asciiTheme="majorEastAsia" w:eastAsiaTheme="majorEastAsia" w:hAnsiTheme="majorEastAsia" w:hint="eastAsia"/>
          <w:color w:val="auto"/>
          <w:kern w:val="2"/>
          <w:sz w:val="18"/>
          <w:szCs w:val="18"/>
        </w:rPr>
        <w:t>为准。</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3）</w:t>
      </w:r>
      <w:r>
        <w:rPr>
          <w:rFonts w:ascii="宋体" w:hAnsi="宋体" w:hint="eastAsia"/>
          <w:kern w:val="0"/>
          <w:sz w:val="18"/>
          <w:szCs w:val="18"/>
        </w:rPr>
        <w:t>理财产品</w:t>
      </w:r>
      <w:r>
        <w:rPr>
          <w:rFonts w:ascii="宋体" w:hAnsi="宋体"/>
          <w:kern w:val="0"/>
          <w:sz w:val="18"/>
          <w:szCs w:val="18"/>
        </w:rPr>
        <w:t>的投资管理费</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sz w:val="18"/>
          <w:szCs w:val="18"/>
        </w:rPr>
        <w:t>本产品的投资管理费按前一日理财资产净值与投资管理费每日费率每日计提。</w:t>
      </w:r>
      <w:r>
        <w:rPr>
          <w:rFonts w:ascii="宋体" w:hAnsi="宋体" w:hint="eastAsia"/>
          <w:kern w:val="0"/>
          <w:sz w:val="18"/>
          <w:szCs w:val="18"/>
        </w:rPr>
        <w:t>投资管理费的计算方法如下：</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H＝E×</w:t>
      </w:r>
      <w:r>
        <w:rPr>
          <w:rFonts w:ascii="宋体" w:hAnsi="宋体" w:hint="eastAsia"/>
          <w:kern w:val="0"/>
          <w:sz w:val="18"/>
          <w:szCs w:val="18"/>
        </w:rPr>
        <w:t>投资管理费</w:t>
      </w:r>
      <w:r>
        <w:rPr>
          <w:rFonts w:ascii="宋体" w:hAnsi="宋体"/>
          <w:kern w:val="0"/>
          <w:sz w:val="18"/>
          <w:szCs w:val="18"/>
        </w:rPr>
        <w:t>年费率÷</w:t>
      </w:r>
      <w:r>
        <w:rPr>
          <w:rFonts w:ascii="宋体" w:hAnsi="宋体" w:hint="eastAsia"/>
          <w:kern w:val="0"/>
          <w:sz w:val="18"/>
          <w:szCs w:val="18"/>
        </w:rPr>
        <w:t>3</w:t>
      </w:r>
      <w:r>
        <w:rPr>
          <w:rFonts w:ascii="宋体" w:hAnsi="宋体"/>
          <w:kern w:val="0"/>
          <w:sz w:val="18"/>
          <w:szCs w:val="18"/>
        </w:rPr>
        <w:t>65</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H为每日应计提的</w:t>
      </w:r>
      <w:r>
        <w:rPr>
          <w:rFonts w:ascii="宋体" w:hAnsi="宋体" w:hint="eastAsia"/>
          <w:kern w:val="0"/>
          <w:sz w:val="18"/>
          <w:szCs w:val="18"/>
        </w:rPr>
        <w:t>产品</w:t>
      </w:r>
      <w:r>
        <w:rPr>
          <w:rFonts w:ascii="宋体" w:hAnsi="宋体"/>
          <w:kern w:val="0"/>
          <w:sz w:val="18"/>
          <w:szCs w:val="18"/>
        </w:rPr>
        <w:t>投资管理费</w:t>
      </w:r>
    </w:p>
    <w:p w:rsidR="0089074A" w:rsidRDefault="00185114">
      <w:pPr>
        <w:widowControl/>
        <w:spacing w:line="360" w:lineRule="auto"/>
        <w:ind w:firstLineChars="200" w:firstLine="360"/>
        <w:jc w:val="left"/>
        <w:rPr>
          <w:rFonts w:ascii="宋体" w:hAnsi="宋体"/>
          <w:kern w:val="0"/>
          <w:sz w:val="18"/>
          <w:szCs w:val="18"/>
        </w:rPr>
      </w:pPr>
      <w:r>
        <w:rPr>
          <w:rFonts w:ascii="宋体" w:hAnsi="宋体"/>
          <w:kern w:val="0"/>
          <w:sz w:val="18"/>
          <w:szCs w:val="18"/>
        </w:rPr>
        <w:t>E为前一日的理财资产净值</w:t>
      </w:r>
    </w:p>
    <w:p w:rsidR="0089074A" w:rsidRDefault="00185114">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lastRenderedPageBreak/>
        <w:t>投资管理费依照上述约定，从理财财产中支付。</w:t>
      </w:r>
      <w:r>
        <w:rPr>
          <w:rFonts w:asciiTheme="majorEastAsia" w:eastAsiaTheme="majorEastAsia" w:hAnsiTheme="majorEastAsia" w:hint="eastAsia"/>
          <w:sz w:val="18"/>
          <w:szCs w:val="18"/>
        </w:rPr>
        <w:t>费率具体数值以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sz w:val="18"/>
          <w:szCs w:val="18"/>
        </w:rPr>
        <w:t>为准</w:t>
      </w:r>
      <w:r>
        <w:rPr>
          <w:rFonts w:ascii="宋体" w:hAnsi="宋体" w:hint="eastAsia"/>
          <w:kern w:val="0"/>
          <w:sz w:val="18"/>
          <w:szCs w:val="18"/>
        </w:rPr>
        <w:t>。</w:t>
      </w:r>
    </w:p>
    <w:p w:rsidR="0089074A" w:rsidRDefault="00185114">
      <w:pPr>
        <w:widowControl/>
        <w:spacing w:line="360" w:lineRule="auto"/>
        <w:ind w:firstLineChars="200" w:firstLine="360"/>
        <w:jc w:val="left"/>
        <w:rPr>
          <w:rFonts w:ascii="宋体" w:hAnsi="宋体"/>
          <w:kern w:val="0"/>
          <w:sz w:val="18"/>
          <w:szCs w:val="18"/>
        </w:rPr>
      </w:pPr>
      <w:r>
        <w:rPr>
          <w:rFonts w:ascii="宋体" w:hAnsi="宋体"/>
          <w:kern w:val="0"/>
          <w:sz w:val="18"/>
          <w:szCs w:val="18"/>
        </w:rPr>
        <w:t>（4）超额业绩报酬</w:t>
      </w:r>
    </w:p>
    <w:p w:rsidR="0089074A" w:rsidRDefault="00185114">
      <w:pPr>
        <w:widowControl/>
        <w:spacing w:line="360" w:lineRule="auto"/>
        <w:ind w:firstLineChars="200" w:firstLine="360"/>
        <w:jc w:val="left"/>
        <w:rPr>
          <w:rFonts w:asciiTheme="majorEastAsia" w:eastAsiaTheme="majorEastAsia" w:hAnsiTheme="majorEastAsia"/>
          <w:sz w:val="18"/>
          <w:szCs w:val="18"/>
        </w:rPr>
      </w:pPr>
      <w:permStart w:id="1789876886" w:edGrp="everyone"/>
      <w:r>
        <w:rPr>
          <w:rFonts w:ascii="宋体" w:hAnsi="宋体" w:hint="eastAsia"/>
          <w:kern w:val="0"/>
          <w:sz w:val="18"/>
          <w:szCs w:val="18"/>
        </w:rPr>
        <w:t>本产品</w:t>
      </w:r>
      <w:r>
        <w:rPr>
          <w:rFonts w:ascii="宋体" w:hAnsi="宋体"/>
          <w:kern w:val="0"/>
          <w:sz w:val="18"/>
          <w:szCs w:val="18"/>
        </w:rPr>
        <w:t>不收取超额业绩报酬。</w:t>
      </w:r>
    </w:p>
    <w:permEnd w:id="1789876886"/>
    <w:p w:rsidR="0089074A" w:rsidRDefault="00185114">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w:t>
      </w:r>
      <w:r>
        <w:rPr>
          <w:rFonts w:ascii="宋体" w:hAnsi="宋体"/>
          <w:kern w:val="0"/>
          <w:sz w:val="18"/>
          <w:szCs w:val="18"/>
        </w:rPr>
        <w:t>5</w:t>
      </w:r>
      <w:r>
        <w:rPr>
          <w:rFonts w:ascii="宋体" w:hAnsi="宋体" w:hint="eastAsia"/>
          <w:kern w:val="0"/>
          <w:sz w:val="18"/>
          <w:szCs w:val="18"/>
        </w:rPr>
        <w:t>）理财产品</w:t>
      </w:r>
      <w:r>
        <w:rPr>
          <w:rFonts w:ascii="宋体" w:hAnsi="宋体"/>
          <w:kern w:val="0"/>
          <w:sz w:val="18"/>
          <w:szCs w:val="18"/>
        </w:rPr>
        <w:t>的</w:t>
      </w:r>
      <w:r>
        <w:rPr>
          <w:rFonts w:ascii="宋体" w:hAnsi="宋体" w:hint="eastAsia"/>
          <w:kern w:val="0"/>
          <w:sz w:val="18"/>
          <w:szCs w:val="18"/>
        </w:rPr>
        <w:t>产品</w:t>
      </w:r>
      <w:r>
        <w:rPr>
          <w:rFonts w:ascii="宋体" w:hAnsi="宋体"/>
          <w:kern w:val="0"/>
          <w:sz w:val="18"/>
          <w:szCs w:val="18"/>
        </w:rPr>
        <w:t>托管费</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sz w:val="18"/>
          <w:szCs w:val="18"/>
        </w:rPr>
        <w:t>本产品的产品</w:t>
      </w:r>
      <w:r>
        <w:rPr>
          <w:rFonts w:ascii="宋体" w:hAnsi="宋体"/>
          <w:sz w:val="18"/>
          <w:szCs w:val="18"/>
        </w:rPr>
        <w:t>托管</w:t>
      </w:r>
      <w:r>
        <w:rPr>
          <w:rFonts w:ascii="宋体" w:hAnsi="宋体" w:hint="eastAsia"/>
          <w:sz w:val="18"/>
          <w:szCs w:val="18"/>
        </w:rPr>
        <w:t>费按前一日理财资产净值与产品</w:t>
      </w:r>
      <w:r>
        <w:rPr>
          <w:rFonts w:ascii="宋体" w:hAnsi="宋体"/>
          <w:sz w:val="18"/>
          <w:szCs w:val="18"/>
        </w:rPr>
        <w:t>托管</w:t>
      </w:r>
      <w:r>
        <w:rPr>
          <w:rFonts w:ascii="宋体" w:hAnsi="宋体" w:hint="eastAsia"/>
          <w:sz w:val="18"/>
          <w:szCs w:val="18"/>
        </w:rPr>
        <w:t>费每日费率每日计提。</w:t>
      </w:r>
      <w:r>
        <w:rPr>
          <w:rFonts w:ascii="宋体" w:hAnsi="宋体" w:hint="eastAsia"/>
          <w:kern w:val="0"/>
          <w:sz w:val="18"/>
          <w:szCs w:val="18"/>
        </w:rPr>
        <w:t>产品</w:t>
      </w:r>
      <w:r>
        <w:rPr>
          <w:rFonts w:ascii="宋体" w:hAnsi="宋体"/>
          <w:kern w:val="0"/>
          <w:sz w:val="18"/>
          <w:szCs w:val="18"/>
        </w:rPr>
        <w:t>托管费的计算方法如下：</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H＝E×</w:t>
      </w:r>
      <w:r>
        <w:rPr>
          <w:rFonts w:ascii="宋体" w:hAnsi="宋体" w:hint="eastAsia"/>
          <w:kern w:val="0"/>
          <w:sz w:val="18"/>
          <w:szCs w:val="18"/>
        </w:rPr>
        <w:t>产品托管费</w:t>
      </w:r>
      <w:r>
        <w:rPr>
          <w:rFonts w:ascii="宋体" w:hAnsi="宋体"/>
          <w:kern w:val="0"/>
          <w:sz w:val="18"/>
          <w:szCs w:val="18"/>
        </w:rPr>
        <w:t>年费率÷</w:t>
      </w:r>
      <w:r>
        <w:rPr>
          <w:rFonts w:ascii="宋体" w:hAnsi="宋体" w:hint="eastAsia"/>
          <w:kern w:val="0"/>
          <w:sz w:val="18"/>
          <w:szCs w:val="18"/>
        </w:rPr>
        <w:t>3</w:t>
      </w:r>
      <w:r>
        <w:rPr>
          <w:rFonts w:ascii="宋体" w:hAnsi="宋体"/>
          <w:kern w:val="0"/>
          <w:sz w:val="18"/>
          <w:szCs w:val="18"/>
        </w:rPr>
        <w:t>65</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H为每日应计提的</w:t>
      </w:r>
      <w:r>
        <w:rPr>
          <w:rFonts w:ascii="宋体" w:hAnsi="宋体" w:hint="eastAsia"/>
          <w:kern w:val="0"/>
          <w:sz w:val="18"/>
          <w:szCs w:val="18"/>
        </w:rPr>
        <w:t>产品</w:t>
      </w:r>
      <w:r>
        <w:rPr>
          <w:rFonts w:ascii="宋体" w:hAnsi="宋体"/>
          <w:kern w:val="0"/>
          <w:sz w:val="18"/>
          <w:szCs w:val="18"/>
        </w:rPr>
        <w:t>托管费</w:t>
      </w:r>
    </w:p>
    <w:p w:rsidR="0089074A" w:rsidRDefault="00185114">
      <w:pPr>
        <w:widowControl/>
        <w:spacing w:line="360" w:lineRule="auto"/>
        <w:ind w:firstLineChars="200" w:firstLine="360"/>
        <w:jc w:val="left"/>
        <w:rPr>
          <w:rFonts w:ascii="宋体" w:hAnsi="宋体"/>
          <w:sz w:val="18"/>
          <w:szCs w:val="18"/>
        </w:rPr>
      </w:pPr>
      <w:r>
        <w:rPr>
          <w:rFonts w:ascii="宋体" w:hAnsi="宋体"/>
          <w:kern w:val="0"/>
          <w:sz w:val="18"/>
          <w:szCs w:val="18"/>
        </w:rPr>
        <w:t>E为前一日的理财资产净值</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产品托管费依照上述约定，从理财财产中支付。</w:t>
      </w:r>
      <w:r>
        <w:rPr>
          <w:rFonts w:asciiTheme="majorEastAsia" w:eastAsiaTheme="majorEastAsia" w:hAnsiTheme="majorEastAsia" w:hint="eastAsia"/>
          <w:sz w:val="18"/>
          <w:szCs w:val="18"/>
        </w:rPr>
        <w:t>费率具体数值以</w:t>
      </w:r>
      <w:r>
        <w:rPr>
          <w:rFonts w:asciiTheme="minorEastAsia" w:eastAsiaTheme="minorEastAsia" w:hAnsiTheme="minorEastAsia" w:hint="eastAsia"/>
          <w:sz w:val="18"/>
          <w:szCs w:val="18"/>
        </w:rPr>
        <w:t>《产品说明书》“第二条 理财产品基本情况”</w:t>
      </w:r>
      <w:r>
        <w:rPr>
          <w:rFonts w:asciiTheme="majorEastAsia" w:eastAsiaTheme="majorEastAsia" w:hAnsiTheme="majorEastAsia" w:hint="eastAsia"/>
          <w:sz w:val="18"/>
          <w:szCs w:val="18"/>
        </w:rPr>
        <w:t>为准。</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6</w:t>
      </w:r>
      <w:r>
        <w:rPr>
          <w:rFonts w:ascii="宋体" w:hAnsi="宋体" w:hint="eastAsia"/>
          <w:kern w:val="0"/>
          <w:sz w:val="18"/>
          <w:szCs w:val="18"/>
        </w:rPr>
        <w:t>）</w:t>
      </w:r>
      <w:r>
        <w:rPr>
          <w:rFonts w:ascii="宋体" w:hAnsi="宋体"/>
          <w:kern w:val="0"/>
          <w:sz w:val="18"/>
          <w:szCs w:val="18"/>
        </w:rPr>
        <w:t>上述</w:t>
      </w:r>
      <w:r>
        <w:rPr>
          <w:rFonts w:ascii="宋体" w:hAnsi="宋体" w:hint="eastAsia"/>
          <w:kern w:val="0"/>
          <w:sz w:val="18"/>
          <w:szCs w:val="18"/>
        </w:rPr>
        <w:t>理财产品的证券交易费用</w:t>
      </w:r>
    </w:p>
    <w:p w:rsidR="0089074A" w:rsidRDefault="00185114">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按费用实际支出金额列入当期费用，从理财财产中支付。</w:t>
      </w:r>
    </w:p>
    <w:p w:rsidR="0089074A" w:rsidRDefault="00185114">
      <w:pPr>
        <w:widowControl/>
        <w:spacing w:line="360" w:lineRule="auto"/>
        <w:ind w:firstLineChars="200" w:firstLine="360"/>
        <w:jc w:val="left"/>
        <w:rPr>
          <w:rFonts w:ascii="宋体" w:hAnsi="宋体"/>
          <w:sz w:val="18"/>
          <w:szCs w:val="18"/>
        </w:rPr>
      </w:pPr>
      <w:r>
        <w:rPr>
          <w:rFonts w:ascii="宋体" w:hAnsi="宋体" w:hint="eastAsia"/>
          <w:kern w:val="0"/>
          <w:sz w:val="18"/>
          <w:szCs w:val="18"/>
        </w:rPr>
        <w:t>（</w:t>
      </w:r>
      <w:r>
        <w:rPr>
          <w:rFonts w:ascii="宋体" w:hAnsi="宋体"/>
          <w:kern w:val="0"/>
          <w:sz w:val="18"/>
          <w:szCs w:val="18"/>
        </w:rPr>
        <w:t>7）上述</w:t>
      </w:r>
      <w:r>
        <w:rPr>
          <w:rFonts w:ascii="宋体" w:hAnsi="宋体" w:hint="eastAsia"/>
          <w:kern w:val="0"/>
          <w:sz w:val="18"/>
          <w:szCs w:val="18"/>
        </w:rPr>
        <w:t>理财产品</w:t>
      </w:r>
      <w:r>
        <w:rPr>
          <w:rFonts w:ascii="宋体" w:hAnsi="宋体"/>
          <w:kern w:val="0"/>
          <w:sz w:val="18"/>
          <w:szCs w:val="18"/>
        </w:rPr>
        <w:t>验资费、审计费、律师费、信息披露费、</w:t>
      </w:r>
      <w:r>
        <w:rPr>
          <w:rFonts w:ascii="宋体" w:hAnsi="宋体" w:hint="eastAsia"/>
          <w:kern w:val="0"/>
          <w:sz w:val="18"/>
          <w:szCs w:val="18"/>
        </w:rPr>
        <w:t>清算费、</w:t>
      </w:r>
      <w:r>
        <w:rPr>
          <w:rFonts w:ascii="宋体" w:hAnsi="宋体"/>
          <w:kern w:val="0"/>
          <w:sz w:val="18"/>
          <w:szCs w:val="18"/>
        </w:rPr>
        <w:t>执行费用等相关费用</w:t>
      </w:r>
    </w:p>
    <w:p w:rsidR="0089074A" w:rsidRDefault="00185114">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ascii="宋体" w:hAnsi="宋体" w:hint="eastAsia"/>
          <w:kern w:val="0"/>
          <w:sz w:val="18"/>
          <w:szCs w:val="18"/>
        </w:rPr>
        <w:t>的，管理人有权从理财产品资产中优先受偿。</w:t>
      </w:r>
    </w:p>
    <w:p w:rsidR="0089074A" w:rsidRDefault="00185114">
      <w:pPr>
        <w:pStyle w:val="Default"/>
        <w:spacing w:line="360" w:lineRule="auto"/>
        <w:ind w:firstLineChars="200" w:firstLine="360"/>
        <w:rPr>
          <w:rFonts w:ascii="黑体" w:eastAsia="黑体" w:hAnsi="黑体"/>
          <w:color w:val="auto"/>
          <w:sz w:val="18"/>
        </w:rPr>
      </w:pPr>
      <w:r>
        <w:rPr>
          <w:rFonts w:ascii="黑体" w:eastAsia="黑体" w:hAnsi="黑体"/>
          <w:color w:val="auto"/>
          <w:sz w:val="18"/>
        </w:rPr>
        <w:t>3.</w:t>
      </w:r>
      <w:r>
        <w:rPr>
          <w:rFonts w:hAnsi="宋体"/>
          <w:color w:val="auto"/>
          <w:sz w:val="18"/>
          <w:szCs w:val="18"/>
        </w:rPr>
        <w:t>★</w:t>
      </w:r>
      <w:r>
        <w:rPr>
          <w:rFonts w:ascii="黑体" w:eastAsia="黑体" w:hAnsi="黑体" w:hint="eastAsia"/>
          <w:color w:val="auto"/>
          <w:sz w:val="18"/>
          <w:szCs w:val="18"/>
        </w:rPr>
        <w:t>理财产品费用</w:t>
      </w:r>
      <w:r>
        <w:rPr>
          <w:rFonts w:ascii="黑体" w:eastAsia="黑体" w:hAnsi="黑体" w:hint="eastAsia"/>
          <w:color w:val="auto"/>
          <w:sz w:val="18"/>
        </w:rPr>
        <w:t>的调整</w:t>
      </w:r>
    </w:p>
    <w:p w:rsidR="0089074A" w:rsidRDefault="00185114">
      <w:pPr>
        <w:pStyle w:val="Default"/>
        <w:spacing w:line="360" w:lineRule="auto"/>
        <w:ind w:firstLineChars="200" w:firstLine="360"/>
        <w:rPr>
          <w:rFonts w:ascii="黑体" w:eastAsia="黑体" w:hAnsi="黑体"/>
          <w:color w:val="auto"/>
          <w:sz w:val="18"/>
        </w:rPr>
      </w:pPr>
      <w:r>
        <w:rPr>
          <w:rFonts w:ascii="黑体" w:eastAsia="黑体" w:hAnsi="黑体" w:hint="eastAsia"/>
          <w:color w:val="auto"/>
          <w:sz w:val="18"/>
        </w:rPr>
        <w:t>（1）发生巨额赎回时，为保护投资者利益，产品管理人有权对赎回日至赎回确认日之间的各项费用进行减免。</w:t>
      </w:r>
    </w:p>
    <w:p w:rsidR="0089074A" w:rsidRDefault="00185114">
      <w:pPr>
        <w:pStyle w:val="Default"/>
        <w:spacing w:line="360" w:lineRule="auto"/>
        <w:ind w:firstLineChars="200" w:firstLine="360"/>
        <w:rPr>
          <w:rFonts w:ascii="黑体" w:eastAsia="黑体" w:hAnsi="黑体"/>
          <w:b/>
          <w:color w:val="auto"/>
          <w:sz w:val="18"/>
        </w:rPr>
      </w:pPr>
      <w:r>
        <w:rPr>
          <w:rFonts w:ascii="黑体" w:eastAsia="黑体" w:hAnsi="黑体" w:hint="eastAsia"/>
          <w:color w:val="auto"/>
          <w:sz w:val="18"/>
        </w:rPr>
        <w:t>（2）产品管理人有权</w:t>
      </w:r>
      <w:r>
        <w:rPr>
          <w:rFonts w:ascii="黑体" w:eastAsia="黑体" w:hAnsi="黑体" w:hint="eastAsia"/>
          <w:color w:val="auto"/>
          <w:sz w:val="18"/>
          <w:szCs w:val="18"/>
        </w:rPr>
        <w:t>根据相关法律和国家政策规定，</w:t>
      </w:r>
      <w:r>
        <w:rPr>
          <w:rFonts w:ascii="黑体" w:eastAsia="黑体" w:hAnsi="黑体" w:hint="eastAsia"/>
          <w:color w:val="auto"/>
          <w:sz w:val="18"/>
        </w:rPr>
        <w:t>对理财产品费用的收费项目、收费条件、收费标准和收费方式等进行调整。产品管理人对费用的调整</w:t>
      </w:r>
      <w:r>
        <w:rPr>
          <w:rFonts w:ascii="黑体" w:eastAsia="黑体" w:hAnsi="黑体" w:hint="eastAsia"/>
          <w:bCs/>
          <w:color w:val="auto"/>
          <w:sz w:val="18"/>
        </w:rPr>
        <w:t>将依约定进行公告。</w:t>
      </w:r>
    </w:p>
    <w:p w:rsidR="0089074A" w:rsidRDefault="00185114">
      <w:pPr>
        <w:pStyle w:val="Default"/>
        <w:spacing w:line="360" w:lineRule="auto"/>
        <w:ind w:firstLineChars="200" w:firstLine="361"/>
        <w:rPr>
          <w:rFonts w:asciiTheme="majorEastAsia" w:eastAsiaTheme="majorEastAsia" w:hAnsiTheme="majorEastAsia"/>
          <w:b/>
          <w:color w:val="auto"/>
          <w:sz w:val="18"/>
          <w:szCs w:val="18"/>
        </w:rPr>
      </w:pPr>
      <w:r>
        <w:rPr>
          <w:rFonts w:asciiTheme="majorEastAsia" w:eastAsiaTheme="majorEastAsia" w:hAnsiTheme="majorEastAsia" w:hint="eastAsia"/>
          <w:b/>
          <w:color w:val="auto"/>
          <w:sz w:val="18"/>
          <w:szCs w:val="18"/>
        </w:rPr>
        <w:t>（二）理财产品的税收</w:t>
      </w:r>
    </w:p>
    <w:p w:rsidR="0089074A" w:rsidRDefault="00185114">
      <w:pPr>
        <w:widowControl/>
        <w:spacing w:line="360" w:lineRule="auto"/>
        <w:ind w:firstLineChars="200" w:firstLine="360"/>
        <w:jc w:val="left"/>
        <w:rPr>
          <w:rFonts w:ascii="宋体" w:hAnsi="宋体"/>
          <w:kern w:val="0"/>
          <w:sz w:val="18"/>
          <w:szCs w:val="18"/>
        </w:rPr>
      </w:pPr>
      <w:r>
        <w:rPr>
          <w:rFonts w:ascii="宋体" w:hAnsi="宋体" w:hint="eastAsia"/>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rsidR="0089074A" w:rsidRDefault="00185114">
      <w:pPr>
        <w:pStyle w:val="1"/>
        <w:spacing w:line="360" w:lineRule="auto"/>
        <w:jc w:val="center"/>
      </w:pPr>
      <w:bookmarkStart w:id="131" w:name="_Toc1745"/>
      <w:bookmarkStart w:id="132" w:name="_Toc3963"/>
      <w:r>
        <w:br w:type="page"/>
      </w:r>
      <w:bookmarkStart w:id="133" w:name="_Toc31821"/>
      <w:bookmarkStart w:id="134" w:name="_Toc103260537"/>
      <w:bookmarkStart w:id="135" w:name="_Toc123102456"/>
      <w:bookmarkStart w:id="136" w:name="_Toc3572"/>
      <w:bookmarkStart w:id="137" w:name="_Toc16164"/>
      <w:bookmarkStart w:id="138" w:name="_Toc725"/>
      <w:bookmarkStart w:id="139" w:name="_Toc139991739"/>
      <w:bookmarkStart w:id="140" w:name="_Toc74065746"/>
      <w:bookmarkStart w:id="141" w:name="_Toc21735"/>
      <w:bookmarkStart w:id="142" w:name="_Toc141703889"/>
      <w:bookmarkStart w:id="143" w:name="_Toc123051455"/>
      <w:bookmarkStart w:id="144" w:name="_Toc92377139"/>
      <w:bookmarkStart w:id="145" w:name="_Toc98560355"/>
      <w:bookmarkStart w:id="146" w:name="_Toc79154673"/>
      <w:bookmarkStart w:id="147" w:name="_Toc123112237"/>
      <w:bookmarkStart w:id="148" w:name="_Toc19648"/>
      <w:bookmarkStart w:id="149" w:name="_Toc18206"/>
      <w:bookmarkStart w:id="150" w:name="_Toc3080"/>
      <w:bookmarkStart w:id="151" w:name="_Toc10398"/>
      <w:r>
        <w:rPr>
          <w:rFonts w:hint="eastAsia"/>
          <w:sz w:val="30"/>
        </w:rPr>
        <w:lastRenderedPageBreak/>
        <w:t>第十条</w:t>
      </w:r>
      <w:r>
        <w:rPr>
          <w:sz w:val="30"/>
        </w:rPr>
        <w:t xml:space="preserve">  </w:t>
      </w:r>
      <w:r>
        <w:rPr>
          <w:rFonts w:hint="eastAsia"/>
          <w:sz w:val="30"/>
        </w:rPr>
        <w:t>理财产品的终止与清算</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rsidR="0089074A" w:rsidRDefault="00185114">
      <w:pPr>
        <w:spacing w:line="360" w:lineRule="auto"/>
        <w:ind w:firstLineChars="200" w:firstLine="361"/>
        <w:rPr>
          <w:rFonts w:asciiTheme="majorEastAsia" w:eastAsiaTheme="majorEastAsia" w:hAnsiTheme="majorEastAsia"/>
          <w:b/>
          <w:bCs/>
          <w:sz w:val="18"/>
          <w:szCs w:val="18"/>
        </w:rPr>
      </w:pPr>
      <w:bookmarkStart w:id="152" w:name="_Toc57530252"/>
      <w:bookmarkStart w:id="153" w:name="_Toc15118245"/>
      <w:bookmarkStart w:id="154" w:name="_Toc79392593"/>
      <w:r>
        <w:rPr>
          <w:rFonts w:asciiTheme="majorEastAsia" w:eastAsiaTheme="majorEastAsia" w:hAnsiTheme="majorEastAsia" w:hint="eastAsia"/>
          <w:b/>
          <w:bCs/>
          <w:sz w:val="18"/>
          <w:szCs w:val="18"/>
        </w:rPr>
        <w:t>（一）理财产品的终止</w:t>
      </w:r>
    </w:p>
    <w:p w:rsidR="0089074A" w:rsidRDefault="00185114">
      <w:pPr>
        <w:spacing w:line="360" w:lineRule="auto"/>
        <w:ind w:firstLineChars="200" w:firstLine="360"/>
        <w:rPr>
          <w:rFonts w:ascii="黑体" w:eastAsia="黑体" w:hAnsi="黑体"/>
          <w:bCs/>
          <w:sz w:val="18"/>
          <w:szCs w:val="18"/>
        </w:rPr>
      </w:pPr>
      <w:r>
        <w:rPr>
          <w:rFonts w:ascii="黑体" w:eastAsia="黑体" w:hAnsi="黑体"/>
          <w:bCs/>
          <w:sz w:val="18"/>
          <w:szCs w:val="18"/>
        </w:rPr>
        <w:t>1.</w:t>
      </w:r>
      <w:r>
        <w:rPr>
          <w:rFonts w:ascii="黑体" w:eastAsia="黑体" w:hAnsi="黑体" w:hint="eastAsia"/>
          <w:bCs/>
          <w:sz w:val="18"/>
          <w:szCs w:val="18"/>
        </w:rPr>
        <w:t>★提前终止</w:t>
      </w:r>
    </w:p>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在理财产品投资运作期间内，投资者无权要求提前终止该理财产品</w:t>
      </w:r>
      <w:r>
        <w:rPr>
          <w:rFonts w:asciiTheme="majorEastAsia" w:eastAsiaTheme="majorEastAsia" w:hAnsiTheme="majorEastAsia" w:hint="eastAsia"/>
          <w:bCs/>
          <w:sz w:val="18"/>
          <w:szCs w:val="18"/>
        </w:rPr>
        <w:t>。在理财产品投资运作期间内，</w:t>
      </w:r>
      <w:r>
        <w:rPr>
          <w:rFonts w:ascii="黑体" w:eastAsia="黑体" w:hAnsi="黑体" w:hint="eastAsia"/>
          <w:bCs/>
          <w:sz w:val="18"/>
          <w:szCs w:val="18"/>
        </w:rPr>
        <w:t>当出现下列情形之一时，产品管理人有权部分或全部提前终止本产品：</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因不可抗力原因导致理财产品无法继续运作。</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遇有市场出现剧烈波动、异常风险事件等情形导致理财产品收益出现大幅波动或严重影响理财产品的资产安全。</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3）</w:t>
      </w:r>
      <w:r>
        <w:rPr>
          <w:rFonts w:asciiTheme="majorEastAsia" w:eastAsiaTheme="majorEastAsia" w:hAnsiTheme="majorEastAsia" w:hint="eastAsia"/>
          <w:bCs/>
          <w:sz w:val="18"/>
          <w:szCs w:val="18"/>
        </w:rPr>
        <w:t>因投资者理财资金被有权机关扣划等原因导致理财产品剩余资产无法满足相关法律法规规定、所投资市场要求或协议等相关法律文件约定，或者继续存续无法实现投资目标。</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4）</w:t>
      </w:r>
      <w:r>
        <w:rPr>
          <w:rFonts w:asciiTheme="majorEastAsia" w:eastAsiaTheme="majorEastAsia" w:hAnsiTheme="majorEastAsia" w:hint="eastAsia"/>
          <w:bCs/>
          <w:sz w:val="18"/>
          <w:szCs w:val="18"/>
        </w:rPr>
        <w:t>因相关投资管理机构解散、破产、撤销、被取消业务资格等原因无法继续履行相应职责导致产品无法继续运作。</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相关投资管理机构或运用理财资金的第三方主体实施符合法律法规规定或协议等相关文件约定的行为导致理财产品被动提前终止。</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6）</w:t>
      </w:r>
      <w:r>
        <w:rPr>
          <w:rFonts w:asciiTheme="majorEastAsia" w:eastAsiaTheme="majorEastAsia" w:hAnsiTheme="majorEastAsia" w:hint="eastAsia"/>
          <w:bCs/>
          <w:sz w:val="18"/>
          <w:szCs w:val="18"/>
        </w:rPr>
        <w:t>因法律法规、国家金融政策或监管规定变化，或紧急措施出台影响产品继续正常运作。</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7）</w:t>
      </w:r>
      <w:r>
        <w:rPr>
          <w:rFonts w:ascii="宋体" w:hAnsi="宋体" w:hint="eastAsia"/>
          <w:bCs/>
          <w:sz w:val="18"/>
          <w:szCs w:val="18"/>
        </w:rPr>
        <w:t>所投资资产部分或全部提前偿付。</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8）提前终止产品比维持产品运作更有利于保护产品持有人的</w:t>
      </w:r>
      <w:r>
        <w:rPr>
          <w:rFonts w:asciiTheme="majorEastAsia" w:eastAsiaTheme="majorEastAsia" w:hAnsiTheme="majorEastAsia" w:hint="eastAsia"/>
          <w:bCs/>
          <w:sz w:val="18"/>
          <w:szCs w:val="18"/>
        </w:rPr>
        <w:t>权益。</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9）</w:t>
      </w:r>
      <w:r>
        <w:rPr>
          <w:rFonts w:asciiTheme="majorEastAsia" w:eastAsiaTheme="majorEastAsia" w:hAnsiTheme="majorEastAsia" w:hint="eastAsia"/>
          <w:bCs/>
          <w:sz w:val="18"/>
          <w:szCs w:val="18"/>
        </w:rPr>
        <w:t>法律法规规定、监管部门要求或本销售文件约定的其他情形。</w:t>
      </w:r>
    </w:p>
    <w:p w:rsidR="0089074A" w:rsidRDefault="00185114">
      <w:pPr>
        <w:spacing w:line="360" w:lineRule="auto"/>
        <w:ind w:firstLineChars="200" w:firstLine="360"/>
        <w:rPr>
          <w:rFonts w:ascii="黑体" w:eastAsia="黑体" w:hAnsi="黑体"/>
          <w:bCs/>
          <w:sz w:val="18"/>
          <w:szCs w:val="18"/>
        </w:rPr>
      </w:pPr>
      <w:r>
        <w:rPr>
          <w:rFonts w:ascii="黑体" w:eastAsia="黑体" w:hAnsi="黑体"/>
          <w:bCs/>
          <w:sz w:val="18"/>
          <w:szCs w:val="18"/>
        </w:rPr>
        <w:t>2.</w:t>
      </w:r>
      <w:r>
        <w:rPr>
          <w:rFonts w:ascii="黑体" w:eastAsia="黑体" w:hAnsi="黑体" w:hint="eastAsia"/>
          <w:bCs/>
          <w:sz w:val="18"/>
          <w:szCs w:val="18"/>
        </w:rPr>
        <w:t>★延期</w:t>
      </w:r>
      <w:r>
        <w:rPr>
          <w:rFonts w:ascii="黑体" w:eastAsia="黑体" w:hAnsi="黑体"/>
          <w:bCs/>
          <w:sz w:val="18"/>
          <w:szCs w:val="18"/>
        </w:rPr>
        <w:t>终止</w:t>
      </w:r>
    </w:p>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出现以下情况，产品管理人有权延长本理财产品的</w:t>
      </w:r>
      <w:r>
        <w:rPr>
          <w:rFonts w:ascii="黑体" w:eastAsia="黑体" w:hAnsi="黑体"/>
          <w:bCs/>
          <w:sz w:val="18"/>
          <w:szCs w:val="18"/>
        </w:rPr>
        <w:t>终止</w:t>
      </w:r>
      <w:r>
        <w:rPr>
          <w:rFonts w:ascii="黑体" w:eastAsia="黑体" w:hAnsi="黑体" w:hint="eastAsia"/>
          <w:bCs/>
          <w:sz w:val="18"/>
          <w:szCs w:val="18"/>
        </w:rPr>
        <w:t>日：</w:t>
      </w:r>
      <w:r>
        <w:rPr>
          <w:rFonts w:ascii="黑体" w:eastAsia="黑体" w:hAnsi="黑体"/>
          <w:bCs/>
          <w:sz w:val="18"/>
          <w:szCs w:val="18"/>
        </w:rPr>
        <w:t xml:space="preserve"> </w:t>
      </w:r>
    </w:p>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1）</w:t>
      </w:r>
      <w:r>
        <w:rPr>
          <w:rFonts w:ascii="黑体" w:eastAsia="黑体" w:hAnsi="黑体" w:hint="eastAsia"/>
          <w:bCs/>
          <w:sz w:val="18"/>
          <w:szCs w:val="18"/>
        </w:rPr>
        <w:t>因市场成交量不足、资产限制赎回、暂停交易、缺乏意愿交易对手、交易对手违约等原因，导致产品项下对应的投资标的无法及时变现；</w:t>
      </w:r>
      <w:r>
        <w:rPr>
          <w:rFonts w:ascii="黑体" w:eastAsia="黑体" w:hAnsi="黑体"/>
          <w:bCs/>
          <w:sz w:val="18"/>
          <w:szCs w:val="18"/>
        </w:rPr>
        <w:t xml:space="preserve"> </w:t>
      </w:r>
    </w:p>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2）</w:t>
      </w:r>
      <w:r>
        <w:rPr>
          <w:rFonts w:ascii="黑体" w:eastAsia="黑体" w:hAnsi="黑体" w:hint="eastAsia"/>
          <w:bCs/>
          <w:sz w:val="18"/>
          <w:szCs w:val="18"/>
        </w:rPr>
        <w:t>因资金在途等原因，导致未能及时收回资金；</w:t>
      </w:r>
      <w:r>
        <w:rPr>
          <w:rFonts w:ascii="黑体" w:eastAsia="黑体" w:hAnsi="黑体"/>
          <w:bCs/>
          <w:sz w:val="18"/>
          <w:szCs w:val="18"/>
        </w:rPr>
        <w:t xml:space="preserve"> </w:t>
      </w:r>
    </w:p>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3）</w:t>
      </w:r>
      <w:r>
        <w:rPr>
          <w:rFonts w:ascii="黑体" w:eastAsia="黑体" w:hAnsi="黑体" w:hint="eastAsia"/>
          <w:bCs/>
          <w:sz w:val="18"/>
          <w:szCs w:val="18"/>
        </w:rPr>
        <w:t>因不可抗力等原因，导致产品管理人无法分配；</w:t>
      </w:r>
      <w:r>
        <w:rPr>
          <w:rFonts w:ascii="黑体" w:eastAsia="黑体" w:hAnsi="黑体"/>
          <w:bCs/>
          <w:sz w:val="18"/>
          <w:szCs w:val="18"/>
        </w:rPr>
        <w:t xml:space="preserve"> </w:t>
      </w:r>
    </w:p>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w:t>
      </w:r>
      <w:r>
        <w:rPr>
          <w:rFonts w:ascii="黑体" w:eastAsia="黑体" w:hAnsi="黑体"/>
          <w:bCs/>
          <w:sz w:val="18"/>
          <w:szCs w:val="18"/>
        </w:rPr>
        <w:t>4）</w:t>
      </w:r>
      <w:r>
        <w:rPr>
          <w:rFonts w:ascii="黑体" w:eastAsia="黑体" w:hAnsi="黑体" w:hint="eastAsia"/>
          <w:bCs/>
          <w:sz w:val="18"/>
          <w:szCs w:val="18"/>
        </w:rPr>
        <w:t>其他产品管理人认为需要延期终止的情形。</w:t>
      </w:r>
      <w:r>
        <w:rPr>
          <w:rFonts w:ascii="黑体" w:eastAsia="黑体" w:hAnsi="黑体"/>
          <w:bCs/>
          <w:sz w:val="18"/>
          <w:szCs w:val="18"/>
        </w:rPr>
        <w:t xml:space="preserve"> </w:t>
      </w:r>
    </w:p>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产品管理人决定延期</w:t>
      </w:r>
      <w:r>
        <w:rPr>
          <w:rFonts w:ascii="黑体" w:eastAsia="黑体" w:hAnsi="黑体"/>
          <w:bCs/>
          <w:sz w:val="18"/>
          <w:szCs w:val="18"/>
        </w:rPr>
        <w:t>终止</w:t>
      </w:r>
      <w:r>
        <w:rPr>
          <w:rFonts w:ascii="黑体" w:eastAsia="黑体" w:hAnsi="黑体" w:hint="eastAsia"/>
          <w:bCs/>
          <w:sz w:val="18"/>
          <w:szCs w:val="18"/>
        </w:rPr>
        <w:t>的，应依据约定进行公告。</w:t>
      </w:r>
      <w:r>
        <w:rPr>
          <w:rFonts w:ascii="黑体" w:eastAsia="黑体" w:hAnsi="黑体"/>
          <w:bCs/>
          <w:sz w:val="18"/>
          <w:szCs w:val="18"/>
        </w:rPr>
        <w:t xml:space="preserve"> </w:t>
      </w:r>
    </w:p>
    <w:p w:rsidR="0089074A" w:rsidRDefault="00185114">
      <w:pPr>
        <w:spacing w:line="360" w:lineRule="auto"/>
        <w:ind w:firstLineChars="200" w:firstLine="361"/>
        <w:rPr>
          <w:rFonts w:asciiTheme="majorEastAsia" w:eastAsiaTheme="majorEastAsia" w:hAnsiTheme="majorEastAsia"/>
          <w:b/>
          <w:bCs/>
          <w:sz w:val="18"/>
          <w:szCs w:val="18"/>
        </w:rPr>
      </w:pPr>
      <w:r>
        <w:rPr>
          <w:rFonts w:asciiTheme="majorEastAsia" w:eastAsiaTheme="majorEastAsia" w:hAnsiTheme="majorEastAsia" w:hint="eastAsia"/>
          <w:b/>
          <w:bCs/>
          <w:sz w:val="18"/>
          <w:szCs w:val="18"/>
        </w:rPr>
        <w:t>（二）理财产品的清算</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理财产品到期日为理财产品终止日（含提前终止或延期终止）。产品到期后，理财产品终止运作，进入清算期，清算期不计算投资收益。理财资产清算后扣除理财相关费用、缴纳所欠税款并清偿理财产品</w:t>
      </w:r>
      <w:r>
        <w:rPr>
          <w:rFonts w:asciiTheme="majorEastAsia" w:eastAsiaTheme="majorEastAsia" w:hAnsiTheme="majorEastAsia" w:hint="eastAsia"/>
          <w:bCs/>
          <w:sz w:val="18"/>
          <w:szCs w:val="18"/>
        </w:rPr>
        <w:lastRenderedPageBreak/>
        <w:t>负债后，理财利益按投资者持有的理财产品份额比例进行分配。清算期原则上不得超过【</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】个工作日，清算期超过【</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】个工作日的，</w:t>
      </w:r>
      <w:r>
        <w:rPr>
          <w:rFonts w:asciiTheme="majorEastAsia" w:eastAsiaTheme="majorEastAsia" w:hAnsiTheme="majorEastAsia"/>
          <w:bCs/>
          <w:sz w:val="18"/>
          <w:szCs w:val="18"/>
        </w:rPr>
        <w:t>将依约</w:t>
      </w:r>
      <w:r>
        <w:rPr>
          <w:rFonts w:asciiTheme="majorEastAsia" w:eastAsiaTheme="majorEastAsia" w:hAnsiTheme="majorEastAsia" w:hint="eastAsia"/>
          <w:bCs/>
          <w:sz w:val="18"/>
          <w:szCs w:val="18"/>
        </w:rPr>
        <w:t>定进行公告。</w:t>
      </w:r>
      <w:r>
        <w:rPr>
          <w:rFonts w:asciiTheme="majorEastAsia" w:eastAsiaTheme="majorEastAsia" w:hAnsiTheme="majorEastAsia"/>
          <w:bCs/>
          <w:sz w:val="18"/>
          <w:szCs w:val="18"/>
        </w:rPr>
        <w:t xml:space="preserve"> </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产品管理人决定部分提前终止理财产品的，按以下约定处理：</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1）</w:t>
      </w:r>
      <w:r>
        <w:rPr>
          <w:rFonts w:asciiTheme="majorEastAsia" w:eastAsiaTheme="majorEastAsia" w:hAnsiTheme="majorEastAsia" w:hint="eastAsia"/>
          <w:bCs/>
          <w:sz w:val="18"/>
          <w:szCs w:val="18"/>
        </w:rPr>
        <w:t>部分提前终止的比例：理财产品将按比例（已变现资产</w:t>
      </w:r>
      <w:r>
        <w:rPr>
          <w:rFonts w:asciiTheme="majorEastAsia" w:eastAsiaTheme="majorEastAsia" w:hAnsiTheme="majorEastAsia"/>
          <w:bCs/>
          <w:sz w:val="18"/>
          <w:szCs w:val="18"/>
        </w:rPr>
        <w:t>/理财产品净资产）</w:t>
      </w:r>
      <w:r>
        <w:rPr>
          <w:rFonts w:asciiTheme="majorEastAsia" w:eastAsiaTheme="majorEastAsia" w:hAnsiTheme="majorEastAsia" w:hint="eastAsia"/>
          <w:bCs/>
          <w:sz w:val="18"/>
          <w:szCs w:val="18"/>
        </w:rPr>
        <w:t>部分提前终止，同时根据产品最新的理财产品份额净值和份额计算并支付投资者相应的理财利益，投资者所持有的理财份额则按比例注销。</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w:t>
      </w:r>
      <w:r>
        <w:rPr>
          <w:rFonts w:asciiTheme="majorEastAsia" w:eastAsiaTheme="majorEastAsia" w:hAnsiTheme="majorEastAsia"/>
          <w:bCs/>
          <w:sz w:val="18"/>
          <w:szCs w:val="18"/>
        </w:rPr>
        <w:t>2）</w:t>
      </w:r>
      <w:r>
        <w:rPr>
          <w:rFonts w:asciiTheme="majorEastAsia" w:eastAsiaTheme="majorEastAsia" w:hAnsiTheme="majorEastAsia" w:hint="eastAsia"/>
          <w:bCs/>
          <w:sz w:val="18"/>
          <w:szCs w:val="18"/>
        </w:rPr>
        <w:t>部分提前终止的利益分配：产品管理人将依照销售文件公布部分提前终止日并指定利益分配日（一般为部分提前终止日之后的【</w:t>
      </w:r>
      <w:r>
        <w:rPr>
          <w:rFonts w:asciiTheme="majorEastAsia" w:eastAsiaTheme="majorEastAsia" w:hAnsiTheme="majorEastAsia"/>
          <w:bCs/>
          <w:sz w:val="18"/>
          <w:szCs w:val="18"/>
        </w:rPr>
        <w:t>5</w:t>
      </w:r>
      <w:r>
        <w:rPr>
          <w:rFonts w:asciiTheme="majorEastAsia" w:eastAsiaTheme="majorEastAsia" w:hAnsiTheme="majorEastAsia" w:hint="eastAsia"/>
          <w:bCs/>
          <w:sz w:val="18"/>
          <w:szCs w:val="18"/>
        </w:rPr>
        <w:t>】个工作日以内）。产品管理人应将理财利益于指定的利益分配</w:t>
      </w:r>
      <w:r>
        <w:rPr>
          <w:rFonts w:asciiTheme="majorEastAsia" w:eastAsiaTheme="majorEastAsia" w:hAnsiTheme="majorEastAsia"/>
          <w:bCs/>
          <w:sz w:val="18"/>
          <w:szCs w:val="18"/>
        </w:rPr>
        <w:t>日</w:t>
      </w:r>
      <w:r>
        <w:rPr>
          <w:rFonts w:asciiTheme="majorEastAsia" w:eastAsiaTheme="majorEastAsia" w:hAnsiTheme="majorEastAsia" w:hint="eastAsia"/>
          <w:bCs/>
          <w:sz w:val="18"/>
          <w:szCs w:val="18"/>
        </w:rPr>
        <w:t>（遇节假日顺延）向投资者分配。</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hint="eastAsia"/>
          <w:bCs/>
          <w:sz w:val="18"/>
          <w:szCs w:val="18"/>
        </w:rPr>
        <w:t>理财产品部分提前终止日（含当日）至理财</w:t>
      </w:r>
      <w:r>
        <w:rPr>
          <w:rFonts w:asciiTheme="majorEastAsia" w:eastAsiaTheme="majorEastAsia" w:hAnsiTheme="majorEastAsia"/>
          <w:bCs/>
          <w:sz w:val="18"/>
          <w:szCs w:val="18"/>
        </w:rPr>
        <w:t>利益</w:t>
      </w:r>
      <w:r>
        <w:rPr>
          <w:rFonts w:asciiTheme="majorEastAsia" w:eastAsiaTheme="majorEastAsia" w:hAnsiTheme="majorEastAsia" w:hint="eastAsia"/>
          <w:bCs/>
          <w:sz w:val="18"/>
          <w:szCs w:val="18"/>
        </w:rPr>
        <w:t>实际到账日之间，理财资金不计算</w:t>
      </w:r>
      <w:r>
        <w:rPr>
          <w:rFonts w:asciiTheme="majorEastAsia" w:eastAsiaTheme="majorEastAsia" w:hAnsiTheme="majorEastAsia"/>
          <w:bCs/>
          <w:sz w:val="18"/>
          <w:szCs w:val="18"/>
        </w:rPr>
        <w:t>收益</w:t>
      </w:r>
      <w:r>
        <w:rPr>
          <w:rFonts w:asciiTheme="majorEastAsia" w:eastAsiaTheme="majorEastAsia" w:hAnsiTheme="majorEastAsia" w:hint="eastAsia"/>
          <w:bCs/>
          <w:sz w:val="18"/>
          <w:szCs w:val="18"/>
        </w:rPr>
        <w:t>。</w:t>
      </w:r>
    </w:p>
    <w:p w:rsidR="0089074A" w:rsidRDefault="00185114">
      <w:pPr>
        <w:spacing w:line="360" w:lineRule="auto"/>
        <w:ind w:firstLineChars="200" w:firstLine="360"/>
        <w:rPr>
          <w:rFonts w:asciiTheme="majorEastAsia" w:eastAsiaTheme="majorEastAsia" w:hAnsiTheme="majorEastAsia"/>
          <w:bCs/>
          <w:sz w:val="18"/>
          <w:szCs w:val="18"/>
        </w:rPr>
      </w:pPr>
      <w:r>
        <w:rPr>
          <w:rFonts w:asciiTheme="majorEastAsia" w:eastAsiaTheme="majorEastAsia" w:hAnsiTheme="majorEastAsia"/>
          <w:bCs/>
          <w:sz w:val="18"/>
          <w:szCs w:val="18"/>
        </w:rPr>
        <w:t>3.理财</w:t>
      </w:r>
      <w:r>
        <w:rPr>
          <w:rFonts w:asciiTheme="majorEastAsia" w:eastAsiaTheme="majorEastAsia" w:hAnsiTheme="majorEastAsia" w:hint="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52"/>
    <w:bookmarkEnd w:id="153"/>
    <w:bookmarkEnd w:id="154"/>
    <w:p w:rsidR="0089074A" w:rsidRDefault="00185114">
      <w:pPr>
        <w:pStyle w:val="1"/>
        <w:spacing w:before="0" w:after="0" w:line="360" w:lineRule="auto"/>
        <w:jc w:val="center"/>
        <w:rPr>
          <w:rFonts w:ascii="Times New Roman"/>
          <w:sz w:val="18"/>
          <w:szCs w:val="18"/>
        </w:rPr>
      </w:pPr>
      <w:r>
        <w:rPr>
          <w:rFonts w:ascii="Times New Roman"/>
          <w:b w:val="0"/>
          <w:bCs w:val="0"/>
          <w:kern w:val="2"/>
        </w:rPr>
        <w:br w:type="page"/>
      </w:r>
      <w:bookmarkStart w:id="155" w:name="_Toc103260538"/>
      <w:bookmarkStart w:id="156" w:name="_Toc23820"/>
      <w:bookmarkStart w:id="157" w:name="_Toc92377140"/>
      <w:bookmarkStart w:id="158" w:name="_Toc3329"/>
      <w:bookmarkStart w:id="159" w:name="_Toc29408"/>
      <w:bookmarkStart w:id="160" w:name="_Toc32092"/>
      <w:bookmarkStart w:id="161" w:name="_Toc21237"/>
      <w:bookmarkStart w:id="162" w:name="_Toc139991740"/>
      <w:bookmarkStart w:id="163" w:name="_Toc8791"/>
      <w:bookmarkStart w:id="164" w:name="_Toc74065747"/>
      <w:bookmarkStart w:id="165" w:name="_Toc79392622"/>
      <w:bookmarkStart w:id="166" w:name="_Toc739"/>
      <w:bookmarkStart w:id="167" w:name="_Toc123051456"/>
      <w:bookmarkStart w:id="168" w:name="_Toc141703890"/>
      <w:bookmarkStart w:id="169" w:name="_Toc98560356"/>
      <w:bookmarkStart w:id="170" w:name="_Toc48649708"/>
      <w:bookmarkStart w:id="171" w:name="_Toc5170"/>
      <w:bookmarkStart w:id="172" w:name="_Toc79154674"/>
      <w:bookmarkStart w:id="173" w:name="_Toc17198"/>
      <w:bookmarkStart w:id="174" w:name="_Toc32584"/>
      <w:bookmarkStart w:id="175" w:name="_Toc83391975"/>
      <w:bookmarkStart w:id="176" w:name="_Toc17920"/>
      <w:bookmarkStart w:id="177" w:name="_Toc123112238"/>
      <w:bookmarkStart w:id="178" w:name="_Toc123102457"/>
      <w:r>
        <w:rPr>
          <w:rFonts w:ascii="Times New Roman" w:hint="eastAsia"/>
          <w:sz w:val="28"/>
          <w:szCs w:val="28"/>
        </w:rPr>
        <w:lastRenderedPageBreak/>
        <w:t>第十一条</w:t>
      </w:r>
      <w:r>
        <w:rPr>
          <w:rFonts w:ascii="Times New Roman"/>
          <w:sz w:val="28"/>
          <w:szCs w:val="28"/>
        </w:rPr>
        <w:t xml:space="preserve">  </w:t>
      </w:r>
      <w:r>
        <w:rPr>
          <w:rFonts w:ascii="Times New Roman" w:hint="eastAsia"/>
          <w:sz w:val="28"/>
          <w:szCs w:val="28"/>
        </w:rPr>
        <w:t>理财产品的信息披露</w:t>
      </w:r>
      <w:bookmarkEnd w:id="155"/>
      <w:bookmarkEnd w:id="156"/>
      <w:bookmarkEnd w:id="157"/>
    </w:p>
    <w:p w:rsidR="0089074A" w:rsidRDefault="00185114">
      <w:pPr>
        <w:spacing w:line="360" w:lineRule="auto"/>
        <w:ind w:firstLineChars="200" w:firstLine="361"/>
        <w:rPr>
          <w:rFonts w:ascii="宋体" w:hAnsi="宋体"/>
          <w:b/>
          <w:bCs/>
          <w:sz w:val="18"/>
          <w:szCs w:val="18"/>
        </w:rPr>
      </w:pPr>
      <w:r>
        <w:rPr>
          <w:rFonts w:ascii="宋体" w:hAnsi="宋体" w:hint="eastAsia"/>
          <w:b/>
          <w:bCs/>
          <w:sz w:val="18"/>
          <w:szCs w:val="18"/>
        </w:rPr>
        <w:t>（一）信息</w:t>
      </w:r>
      <w:r>
        <w:rPr>
          <w:rFonts w:ascii="宋体" w:hAnsi="宋体"/>
          <w:b/>
          <w:bCs/>
          <w:sz w:val="18"/>
          <w:szCs w:val="18"/>
        </w:rPr>
        <w:t>披露的原则</w:t>
      </w:r>
    </w:p>
    <w:p w:rsidR="0089074A" w:rsidRDefault="00185114">
      <w:pPr>
        <w:spacing w:line="360" w:lineRule="auto"/>
        <w:ind w:firstLineChars="200" w:firstLine="360"/>
        <w:rPr>
          <w:rFonts w:ascii="宋体" w:hAnsi="宋体"/>
          <w:b/>
          <w:bCs/>
          <w:sz w:val="18"/>
          <w:szCs w:val="18"/>
        </w:rPr>
      </w:pPr>
      <w:r>
        <w:rPr>
          <w:rFonts w:ascii="宋体" w:hAnsi="宋体" w:hint="eastAsia"/>
          <w:bCs/>
          <w:sz w:val="18"/>
          <w:szCs w:val="18"/>
        </w:rPr>
        <w:t>产品管理人</w:t>
      </w:r>
      <w:r>
        <w:rPr>
          <w:rFonts w:ascii="宋体" w:hAnsi="宋体"/>
          <w:bCs/>
          <w:sz w:val="18"/>
          <w:szCs w:val="18"/>
        </w:rPr>
        <w:t>遵循真实性、准确性、完整性和及时性原则</w:t>
      </w:r>
      <w:r>
        <w:rPr>
          <w:rFonts w:ascii="宋体" w:hAnsi="宋体" w:hint="eastAsia"/>
          <w:bCs/>
          <w:sz w:val="18"/>
          <w:szCs w:val="18"/>
        </w:rPr>
        <w:t>进行</w:t>
      </w:r>
      <w:r>
        <w:rPr>
          <w:rFonts w:ascii="宋体" w:hAnsi="宋体"/>
          <w:bCs/>
          <w:sz w:val="18"/>
          <w:szCs w:val="18"/>
        </w:rPr>
        <w:t>信息披露</w:t>
      </w:r>
      <w:r>
        <w:rPr>
          <w:rFonts w:ascii="宋体" w:hAnsi="宋体" w:hint="eastAsia"/>
          <w:bCs/>
          <w:sz w:val="18"/>
          <w:szCs w:val="18"/>
        </w:rPr>
        <w:t>。</w:t>
      </w:r>
    </w:p>
    <w:p w:rsidR="0089074A" w:rsidRDefault="00185114">
      <w:pPr>
        <w:spacing w:line="360" w:lineRule="auto"/>
        <w:ind w:firstLineChars="200" w:firstLine="361"/>
        <w:rPr>
          <w:rFonts w:ascii="宋体" w:hAnsi="宋体"/>
          <w:b/>
          <w:bCs/>
          <w:sz w:val="18"/>
          <w:szCs w:val="18"/>
        </w:rPr>
      </w:pPr>
      <w:r>
        <w:rPr>
          <w:rFonts w:ascii="宋体" w:hAnsi="宋体" w:hint="eastAsia"/>
          <w:b/>
          <w:bCs/>
          <w:sz w:val="18"/>
          <w:szCs w:val="18"/>
        </w:rPr>
        <w:t>（二）信息披露的渠道</w:t>
      </w:r>
    </w:p>
    <w:p w:rsidR="0089074A" w:rsidRDefault="00185114">
      <w:pPr>
        <w:spacing w:line="360" w:lineRule="auto"/>
        <w:ind w:firstLineChars="200" w:firstLine="360"/>
        <w:rPr>
          <w:rFonts w:ascii="宋体" w:hAnsi="宋体"/>
          <w:bCs/>
          <w:sz w:val="18"/>
          <w:szCs w:val="18"/>
        </w:rPr>
      </w:pPr>
      <w:r>
        <w:rPr>
          <w:rFonts w:ascii="宋体" w:hAnsi="宋体"/>
          <w:bCs/>
          <w:sz w:val="18"/>
          <w:szCs w:val="18"/>
        </w:rPr>
        <w:t>1.</w:t>
      </w:r>
      <w:r>
        <w:rPr>
          <w:rFonts w:ascii="宋体" w:hAnsi="宋体" w:hint="eastAsia"/>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w:t>
      </w:r>
      <w:r>
        <w:rPr>
          <w:rFonts w:ascii="宋体" w:hAnsi="宋体" w:hint="eastAsia"/>
          <w:bCs/>
          <w:sz w:val="18"/>
          <w:szCs w:val="18"/>
        </w:rPr>
        <w:t>产品管理人</w:t>
      </w:r>
      <w:r>
        <w:rPr>
          <w:rFonts w:ascii="宋体" w:hAnsi="宋体"/>
          <w:bCs/>
          <w:sz w:val="18"/>
          <w:szCs w:val="18"/>
        </w:rPr>
        <w:t>或销售机构的信息披露渠道开展理财产品的信息披露工作。请投资者及时关注。</w:t>
      </w:r>
    </w:p>
    <w:p w:rsidR="0089074A" w:rsidRDefault="00185114">
      <w:pPr>
        <w:spacing w:line="360" w:lineRule="auto"/>
        <w:ind w:firstLineChars="200" w:firstLine="360"/>
        <w:rPr>
          <w:rFonts w:ascii="黑体" w:eastAsia="黑体" w:hAnsi="黑体"/>
          <w:bCs/>
          <w:sz w:val="18"/>
          <w:szCs w:val="18"/>
        </w:rPr>
      </w:pPr>
      <w:r>
        <w:rPr>
          <w:rFonts w:ascii="黑体" w:eastAsia="黑体" w:hAnsi="黑体"/>
          <w:bCs/>
          <w:sz w:val="18"/>
          <w:szCs w:val="18"/>
        </w:rPr>
        <w:t>2.★产品管理人</w:t>
      </w:r>
      <w:r>
        <w:rPr>
          <w:rFonts w:ascii="黑体" w:eastAsia="黑体" w:hAnsi="黑体" w:hint="eastAsia"/>
          <w:bCs/>
          <w:sz w:val="18"/>
          <w:szCs w:val="18"/>
        </w:rPr>
        <w:t>通过产品管理人或销售机构的信息披露渠道</w:t>
      </w:r>
      <w:r>
        <w:rPr>
          <w:rFonts w:ascii="黑体" w:eastAsia="黑体" w:hAnsi="黑体"/>
          <w:bCs/>
          <w:sz w:val="18"/>
          <w:szCs w:val="18"/>
        </w:rPr>
        <w:t>发布</w:t>
      </w:r>
      <w:r>
        <w:rPr>
          <w:rFonts w:ascii="黑体" w:eastAsia="黑体" w:hAnsi="黑体" w:hint="eastAsia"/>
          <w:bCs/>
          <w:sz w:val="18"/>
          <w:szCs w:val="18"/>
        </w:rPr>
        <w:t>理财产品有关</w:t>
      </w:r>
      <w:r>
        <w:rPr>
          <w:rFonts w:ascii="黑体" w:eastAsia="黑体" w:hAnsi="黑体"/>
          <w:bCs/>
          <w:sz w:val="18"/>
          <w:szCs w:val="18"/>
        </w:rPr>
        <w:t>信息，即视为已适当履行其信息披露义务。如</w:t>
      </w:r>
      <w:r>
        <w:rPr>
          <w:rFonts w:ascii="黑体" w:eastAsia="黑体" w:hAnsi="黑体" w:hint="eastAsia"/>
          <w:bCs/>
          <w:sz w:val="18"/>
          <w:szCs w:val="18"/>
        </w:rPr>
        <w:t>产品管理人</w:t>
      </w:r>
      <w:r>
        <w:rPr>
          <w:rFonts w:ascii="黑体" w:eastAsia="黑体" w:hAnsi="黑体"/>
          <w:bCs/>
          <w:sz w:val="18"/>
          <w:szCs w:val="18"/>
        </w:rPr>
        <w:t>认为需要直接联系</w:t>
      </w:r>
      <w:r>
        <w:rPr>
          <w:rFonts w:ascii="黑体" w:eastAsia="黑体" w:hAnsi="黑体" w:hint="eastAsia"/>
          <w:bCs/>
          <w:sz w:val="18"/>
          <w:szCs w:val="18"/>
        </w:rPr>
        <w:t>投资者</w:t>
      </w:r>
      <w:r>
        <w:rPr>
          <w:rFonts w:ascii="黑体" w:eastAsia="黑体" w:hAnsi="黑体"/>
          <w:bCs/>
          <w:sz w:val="18"/>
          <w:szCs w:val="18"/>
        </w:rPr>
        <w:t>的，将依据本说明书投资者信息中</w:t>
      </w:r>
      <w:r>
        <w:rPr>
          <w:rFonts w:ascii="黑体" w:eastAsia="黑体" w:hAnsi="黑体" w:hint="eastAsia"/>
          <w:bCs/>
          <w:sz w:val="18"/>
          <w:szCs w:val="18"/>
        </w:rPr>
        <w:t>投资者</w:t>
      </w:r>
      <w:r>
        <w:rPr>
          <w:rFonts w:ascii="黑体" w:eastAsia="黑体" w:hAnsi="黑体"/>
          <w:bCs/>
          <w:sz w:val="18"/>
          <w:szCs w:val="18"/>
        </w:rPr>
        <w:t>预留的</w:t>
      </w:r>
      <w:r>
        <w:rPr>
          <w:rFonts w:ascii="黑体" w:eastAsia="黑体" w:hAnsi="黑体" w:hint="eastAsia"/>
          <w:bCs/>
          <w:sz w:val="18"/>
          <w:szCs w:val="18"/>
        </w:rPr>
        <w:t>信息</w:t>
      </w:r>
      <w:r>
        <w:rPr>
          <w:rFonts w:ascii="黑体" w:eastAsia="黑体" w:hAnsi="黑体"/>
          <w:bCs/>
          <w:sz w:val="18"/>
          <w:szCs w:val="18"/>
        </w:rPr>
        <w:t>进行通知。因</w:t>
      </w:r>
      <w:r>
        <w:rPr>
          <w:rFonts w:ascii="黑体" w:eastAsia="黑体" w:hAnsi="黑体" w:hint="eastAsia"/>
          <w:bCs/>
          <w:sz w:val="18"/>
          <w:szCs w:val="18"/>
        </w:rPr>
        <w:t>投资者</w:t>
      </w:r>
      <w:r>
        <w:rPr>
          <w:rFonts w:ascii="黑体" w:eastAsia="黑体" w:hAnsi="黑体"/>
          <w:bCs/>
          <w:sz w:val="18"/>
          <w:szCs w:val="18"/>
        </w:rPr>
        <w:t>原因而导致该等通知失败的，</w:t>
      </w:r>
      <w:r>
        <w:rPr>
          <w:rFonts w:ascii="黑体" w:eastAsia="黑体" w:hAnsi="黑体" w:hint="eastAsia"/>
          <w:bCs/>
          <w:sz w:val="18"/>
          <w:szCs w:val="18"/>
        </w:rPr>
        <w:t>产品管理人</w:t>
      </w:r>
      <w:r>
        <w:rPr>
          <w:rFonts w:ascii="黑体" w:eastAsia="黑体" w:hAnsi="黑体"/>
          <w:bCs/>
          <w:sz w:val="18"/>
          <w:szCs w:val="18"/>
        </w:rPr>
        <w:t>不承担相应责任。</w:t>
      </w:r>
    </w:p>
    <w:p w:rsidR="0089074A" w:rsidRDefault="00185114">
      <w:pPr>
        <w:spacing w:line="360" w:lineRule="auto"/>
        <w:ind w:firstLineChars="200"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ascii="宋体" w:hAnsi="宋体" w:hint="eastAsia"/>
          <w:bCs/>
          <w:sz w:val="18"/>
          <w:szCs w:val="18"/>
        </w:rPr>
        <w:t>已适当披露理财产品相关信息。投资者承诺将及时接收、浏览和阅读该等信息。如投资者对本产品的运作状况有任何疑问，可向产品管理人或销售机构进行咨询。</w:t>
      </w:r>
    </w:p>
    <w:p w:rsidR="0089074A" w:rsidRDefault="00185114">
      <w:pPr>
        <w:spacing w:line="360" w:lineRule="auto"/>
        <w:ind w:firstLineChars="200" w:firstLine="360"/>
        <w:rPr>
          <w:rFonts w:ascii="宋体" w:hAnsi="宋体"/>
          <w:bCs/>
          <w:sz w:val="18"/>
          <w:szCs w:val="18"/>
        </w:rPr>
      </w:pPr>
      <w:r>
        <w:rPr>
          <w:rFonts w:ascii="宋体" w:hAnsi="宋体"/>
          <w:bCs/>
          <w:sz w:val="18"/>
          <w:szCs w:val="18"/>
        </w:rPr>
        <w:t>4.在保障投资者知情权的前提下</w:t>
      </w:r>
      <w:r>
        <w:rPr>
          <w:rFonts w:ascii="宋体" w:hAnsi="宋体" w:hint="eastAsia"/>
          <w:bCs/>
          <w:sz w:val="18"/>
          <w:szCs w:val="18"/>
        </w:rPr>
        <w:t>，</w:t>
      </w:r>
      <w:r>
        <w:rPr>
          <w:rFonts w:ascii="宋体" w:hAnsi="宋体"/>
          <w:bCs/>
          <w:sz w:val="18"/>
          <w:szCs w:val="18"/>
        </w:rPr>
        <w:t>产品管理人保留变更信息披露渠道的权利。</w:t>
      </w:r>
    </w:p>
    <w:p w:rsidR="0089074A" w:rsidRDefault="00185114">
      <w:pPr>
        <w:spacing w:line="360" w:lineRule="auto"/>
        <w:ind w:firstLineChars="200" w:firstLine="361"/>
        <w:rPr>
          <w:rFonts w:ascii="宋体" w:hAnsi="宋体"/>
          <w:b/>
          <w:bCs/>
          <w:sz w:val="18"/>
          <w:szCs w:val="18"/>
        </w:rPr>
      </w:pPr>
      <w:r>
        <w:rPr>
          <w:rFonts w:ascii="宋体" w:hAnsi="宋体" w:hint="eastAsia"/>
          <w:b/>
          <w:bCs/>
          <w:sz w:val="18"/>
          <w:szCs w:val="18"/>
        </w:rPr>
        <w:t>（三）信息披露的内容</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理财产品信息披露</w:t>
      </w:r>
      <w:r>
        <w:rPr>
          <w:rFonts w:ascii="宋体" w:hAnsi="宋体"/>
          <w:bCs/>
          <w:sz w:val="18"/>
          <w:szCs w:val="18"/>
        </w:rPr>
        <w:t>包括但不限于产品成立、产品终止、</w:t>
      </w:r>
      <w:r>
        <w:rPr>
          <w:rFonts w:ascii="宋体" w:hAnsi="宋体" w:hint="eastAsia"/>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rsidR="0089074A" w:rsidRDefault="00185114">
      <w:pPr>
        <w:spacing w:line="360" w:lineRule="auto"/>
        <w:ind w:firstLineChars="200" w:firstLine="361"/>
        <w:rPr>
          <w:rFonts w:ascii="宋体" w:hAnsi="宋体"/>
          <w:b/>
          <w:bCs/>
          <w:sz w:val="18"/>
          <w:szCs w:val="18"/>
        </w:rPr>
      </w:pPr>
      <w:r>
        <w:rPr>
          <w:rFonts w:ascii="宋体" w:hAnsi="宋体" w:hint="eastAsia"/>
          <w:b/>
          <w:bCs/>
          <w:sz w:val="18"/>
          <w:szCs w:val="18"/>
        </w:rPr>
        <w:t>（四）信息披露的频率和时间</w:t>
      </w:r>
    </w:p>
    <w:p w:rsidR="0089074A" w:rsidRDefault="00185114">
      <w:pPr>
        <w:spacing w:line="360" w:lineRule="auto"/>
        <w:ind w:firstLineChars="200" w:firstLine="360"/>
        <w:rPr>
          <w:rFonts w:ascii="宋体" w:hAnsi="宋体"/>
          <w:bCs/>
          <w:sz w:val="18"/>
          <w:szCs w:val="18"/>
        </w:rPr>
      </w:pPr>
      <w:r>
        <w:rPr>
          <w:rFonts w:ascii="宋体" w:hAnsi="宋体"/>
          <w:bCs/>
          <w:sz w:val="18"/>
          <w:szCs w:val="18"/>
        </w:rPr>
        <w:t>1.产品成立公告</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本产品成立后</w:t>
      </w:r>
      <w:r>
        <w:rPr>
          <w:rFonts w:ascii="宋体" w:hAnsi="宋体"/>
          <w:bCs/>
          <w:sz w:val="18"/>
          <w:szCs w:val="18"/>
        </w:rPr>
        <w:t>5个工作日内，产品管理人将发布产品成立公告。</w:t>
      </w:r>
    </w:p>
    <w:p w:rsidR="0089074A" w:rsidRDefault="00185114">
      <w:pPr>
        <w:spacing w:line="360" w:lineRule="auto"/>
        <w:ind w:firstLineChars="200" w:firstLine="360"/>
        <w:rPr>
          <w:rFonts w:ascii="宋体" w:hAnsi="宋体"/>
          <w:bCs/>
          <w:sz w:val="18"/>
          <w:szCs w:val="18"/>
        </w:rPr>
      </w:pPr>
      <w:r>
        <w:rPr>
          <w:rFonts w:ascii="宋体" w:hAnsi="宋体"/>
          <w:bCs/>
          <w:sz w:val="18"/>
          <w:szCs w:val="18"/>
        </w:rPr>
        <w:t>2.重大事项</w:t>
      </w:r>
      <w:r>
        <w:rPr>
          <w:rFonts w:ascii="宋体" w:hAnsi="宋体" w:hint="eastAsia"/>
          <w:bCs/>
          <w:sz w:val="18"/>
          <w:szCs w:val="18"/>
        </w:rPr>
        <w:t>公告</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在发生可能对理财产品投资者或者理财产品收益产生重大影响的事件后</w:t>
      </w:r>
      <w:r>
        <w:rPr>
          <w:rFonts w:ascii="宋体" w:hAnsi="宋体"/>
          <w:bCs/>
          <w:sz w:val="18"/>
          <w:szCs w:val="18"/>
        </w:rPr>
        <w:t>2个工作日内发布重大事项公告。</w:t>
      </w:r>
    </w:p>
    <w:p w:rsidR="0089074A" w:rsidRDefault="00185114">
      <w:pPr>
        <w:spacing w:line="360" w:lineRule="auto"/>
        <w:ind w:firstLineChars="200" w:firstLine="360"/>
        <w:rPr>
          <w:rFonts w:ascii="宋体" w:hAnsi="宋体"/>
          <w:bCs/>
          <w:sz w:val="18"/>
          <w:szCs w:val="18"/>
        </w:rPr>
      </w:pPr>
      <w:r>
        <w:rPr>
          <w:rFonts w:ascii="宋体" w:hAnsi="宋体"/>
          <w:bCs/>
          <w:sz w:val="18"/>
          <w:szCs w:val="18"/>
        </w:rPr>
        <w:t>3.定期报告</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定期报告分为</w:t>
      </w:r>
      <w:r>
        <w:rPr>
          <w:rFonts w:ascii="宋体" w:hAnsi="宋体"/>
          <w:bCs/>
          <w:sz w:val="18"/>
          <w:szCs w:val="18"/>
        </w:rPr>
        <w:t>季度、半年度和年度定期报告。</w:t>
      </w:r>
      <w:r>
        <w:rPr>
          <w:rFonts w:ascii="宋体" w:hAnsi="宋体" w:hint="eastAsia"/>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rsidR="0089074A" w:rsidRDefault="00185114">
      <w:pPr>
        <w:spacing w:line="360" w:lineRule="auto"/>
        <w:ind w:firstLineChars="200" w:firstLine="360"/>
        <w:rPr>
          <w:rFonts w:ascii="宋体" w:hAnsi="宋体"/>
          <w:bCs/>
          <w:sz w:val="18"/>
          <w:szCs w:val="18"/>
        </w:rPr>
      </w:pPr>
      <w:r>
        <w:rPr>
          <w:rFonts w:ascii="宋体" w:hAnsi="宋体"/>
          <w:bCs/>
          <w:sz w:val="18"/>
          <w:szCs w:val="18"/>
        </w:rPr>
        <w:lastRenderedPageBreak/>
        <w:t>4.到期公告</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rsidR="0089074A" w:rsidRDefault="00185114">
      <w:pPr>
        <w:spacing w:line="360" w:lineRule="auto"/>
        <w:ind w:firstLineChars="200" w:firstLine="360"/>
        <w:rPr>
          <w:rFonts w:ascii="宋体" w:hAnsi="宋体"/>
          <w:bCs/>
          <w:sz w:val="18"/>
          <w:szCs w:val="18"/>
        </w:rPr>
      </w:pPr>
      <w:r>
        <w:rPr>
          <w:rFonts w:ascii="宋体" w:hAnsi="宋体"/>
          <w:bCs/>
          <w:sz w:val="18"/>
          <w:szCs w:val="18"/>
        </w:rPr>
        <w:t>5.开放日</w:t>
      </w:r>
      <w:r>
        <w:rPr>
          <w:rFonts w:ascii="宋体" w:hAnsi="宋体" w:hint="eastAsia"/>
          <w:bCs/>
          <w:sz w:val="18"/>
          <w:szCs w:val="18"/>
        </w:rPr>
        <w:t>/估值日</w:t>
      </w:r>
      <w:r>
        <w:rPr>
          <w:rFonts w:ascii="宋体" w:hAnsi="宋体"/>
          <w:bCs/>
          <w:sz w:val="18"/>
          <w:szCs w:val="18"/>
        </w:rPr>
        <w:t>公告</w:t>
      </w:r>
    </w:p>
    <w:p w:rsidR="0089074A" w:rsidRDefault="00185114">
      <w:pPr>
        <w:spacing w:line="360" w:lineRule="auto"/>
        <w:ind w:firstLineChars="200" w:firstLine="360"/>
        <w:rPr>
          <w:rFonts w:ascii="宋体" w:hAnsi="宋体"/>
          <w:bCs/>
          <w:sz w:val="18"/>
          <w:szCs w:val="18"/>
        </w:rPr>
      </w:pPr>
      <w:permStart w:id="712184133" w:edGrp="everyone"/>
      <w:r>
        <w:rPr>
          <w:rFonts w:ascii="宋体" w:hAnsi="宋体" w:hint="eastAsia"/>
          <w:sz w:val="18"/>
          <w:szCs w:val="18"/>
        </w:rPr>
        <w:t>产品管理人</w:t>
      </w:r>
      <w:r>
        <w:rPr>
          <w:rFonts w:ascii="宋体" w:hAnsi="宋体" w:hint="eastAsia"/>
          <w:bCs/>
          <w:sz w:val="18"/>
          <w:szCs w:val="18"/>
        </w:rPr>
        <w:t>在申购日</w:t>
      </w:r>
      <w:r>
        <w:rPr>
          <w:rFonts w:ascii="宋体" w:hAnsi="宋体"/>
          <w:bCs/>
          <w:sz w:val="18"/>
          <w:szCs w:val="18"/>
        </w:rPr>
        <w:t>/赎回日结束后2个工作日内披露公告，公告内容包括申购日/赎回日</w:t>
      </w:r>
      <w:r>
        <w:rPr>
          <w:rFonts w:ascii="宋体" w:hAnsi="宋体" w:hint="eastAsia"/>
          <w:bCs/>
          <w:sz w:val="18"/>
          <w:szCs w:val="18"/>
        </w:rPr>
        <w:t>的产品份额净值、产品份额累计净值等。如遇法定节假日顺延。此外，如遇其他特殊情况，以产品管理人信息披露为准。</w:t>
      </w:r>
    </w:p>
    <w:permEnd w:id="712184133"/>
    <w:p w:rsidR="0089074A" w:rsidRDefault="00185114">
      <w:pPr>
        <w:spacing w:line="360" w:lineRule="auto"/>
        <w:ind w:firstLineChars="200" w:firstLine="360"/>
        <w:rPr>
          <w:rFonts w:ascii="宋体" w:hAnsi="宋体"/>
          <w:bCs/>
          <w:sz w:val="18"/>
          <w:szCs w:val="18"/>
        </w:rPr>
      </w:pPr>
      <w:r>
        <w:rPr>
          <w:rFonts w:ascii="宋体" w:hAnsi="宋体"/>
          <w:bCs/>
          <w:sz w:val="18"/>
          <w:szCs w:val="18"/>
        </w:rPr>
        <w:t>6.临时公告</w:t>
      </w:r>
    </w:p>
    <w:p w:rsidR="0089074A" w:rsidRDefault="00185114">
      <w:pPr>
        <w:spacing w:line="360" w:lineRule="auto"/>
        <w:ind w:firstLineChars="200" w:firstLine="361"/>
        <w:rPr>
          <w:rFonts w:ascii="黑体" w:eastAsia="黑体" w:hAnsi="黑体"/>
          <w:b/>
          <w:bCs/>
          <w:sz w:val="18"/>
          <w:szCs w:val="18"/>
        </w:rPr>
      </w:pPr>
      <w:r>
        <w:rPr>
          <w:rFonts w:ascii="黑体" w:eastAsia="黑体" w:hAnsi="黑体" w:hint="eastAsia"/>
          <w:b/>
          <w:bCs/>
          <w:sz w:val="18"/>
          <w:szCs w:val="18"/>
        </w:rPr>
        <w:t>（</w:t>
      </w:r>
      <w:r>
        <w:rPr>
          <w:rFonts w:ascii="黑体" w:eastAsia="黑体" w:hAnsi="黑体"/>
          <w:b/>
          <w:bCs/>
          <w:sz w:val="18"/>
          <w:szCs w:val="18"/>
        </w:rPr>
        <w:t>1）</w:t>
      </w:r>
      <w:r>
        <w:rPr>
          <w:rFonts w:ascii="黑体" w:eastAsia="黑体" w:hAnsi="黑体" w:hint="eastAsia"/>
          <w:b/>
          <w:bCs/>
          <w:sz w:val="18"/>
          <w:szCs w:val="18"/>
        </w:rPr>
        <w:t>★产品管理人</w:t>
      </w:r>
      <w:r>
        <w:rPr>
          <w:rFonts w:ascii="黑体" w:eastAsia="黑体" w:hAnsi="黑体"/>
          <w:b/>
          <w:bCs/>
          <w:sz w:val="18"/>
          <w:szCs w:val="18"/>
        </w:rPr>
        <w:t>对</w:t>
      </w:r>
      <w:r>
        <w:rPr>
          <w:rFonts w:ascii="黑体" w:eastAsia="黑体" w:hAnsi="黑体" w:hint="eastAsia"/>
          <w:b/>
          <w:bCs/>
          <w:sz w:val="18"/>
          <w:szCs w:val="18"/>
        </w:rPr>
        <w:t>投资范围、投资资产种类、</w:t>
      </w:r>
      <w:r>
        <w:rPr>
          <w:rFonts w:ascii="黑体" w:eastAsia="黑体" w:hAnsi="黑体"/>
          <w:b/>
          <w:bCs/>
          <w:sz w:val="18"/>
          <w:szCs w:val="18"/>
        </w:rPr>
        <w:t>投资</w:t>
      </w:r>
      <w:r>
        <w:rPr>
          <w:rFonts w:ascii="黑体" w:eastAsia="黑体" w:hAnsi="黑体" w:hint="eastAsia"/>
          <w:b/>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eastAsia="黑体" w:hAnsi="黑体"/>
          <w:b/>
          <w:bCs/>
          <w:sz w:val="18"/>
          <w:szCs w:val="18"/>
        </w:rPr>
        <w:t>2个工作日发布变更公告</w:t>
      </w:r>
      <w:r>
        <w:rPr>
          <w:rFonts w:ascii="黑体" w:eastAsia="黑体" w:hAnsi="黑体" w:hint="eastAsia"/>
          <w:b/>
          <w:bCs/>
          <w:sz w:val="18"/>
          <w:szCs w:val="18"/>
        </w:rPr>
        <w:t>。</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2）在发生</w:t>
      </w:r>
      <w:r>
        <w:rPr>
          <w:rFonts w:ascii="宋体" w:hAnsi="宋体" w:hint="eastAsia"/>
          <w:sz w:val="18"/>
          <w:szCs w:val="18"/>
        </w:rPr>
        <w:t>产品管理人</w:t>
      </w:r>
      <w:r>
        <w:rPr>
          <w:rFonts w:ascii="宋体" w:hAnsi="宋体" w:hint="eastAsia"/>
          <w:bCs/>
          <w:sz w:val="18"/>
          <w:szCs w:val="18"/>
        </w:rPr>
        <w:t>拒绝或暂停接受</w:t>
      </w:r>
      <w:r>
        <w:rPr>
          <w:rFonts w:ascii="宋体" w:hAnsi="宋体"/>
          <w:bCs/>
          <w:sz w:val="18"/>
          <w:szCs w:val="18"/>
        </w:rPr>
        <w:t>投资者</w:t>
      </w:r>
      <w:r>
        <w:rPr>
          <w:rFonts w:ascii="宋体" w:hAnsi="宋体" w:hint="eastAsia"/>
          <w:bCs/>
          <w:sz w:val="18"/>
          <w:szCs w:val="18"/>
        </w:rPr>
        <w:t>认购</w:t>
      </w:r>
      <w:r>
        <w:rPr>
          <w:rFonts w:ascii="宋体" w:hAnsi="宋体"/>
          <w:bCs/>
          <w:sz w:val="18"/>
          <w:szCs w:val="18"/>
        </w:rPr>
        <w:t>/申购</w:t>
      </w:r>
      <w:r>
        <w:rPr>
          <w:rFonts w:ascii="宋体" w:hAnsi="宋体" w:hint="eastAsia"/>
          <w:bCs/>
          <w:sz w:val="18"/>
          <w:szCs w:val="18"/>
        </w:rPr>
        <w:t>申请、暂停接受</w:t>
      </w:r>
      <w:r>
        <w:rPr>
          <w:rFonts w:ascii="宋体" w:hAnsi="宋体"/>
          <w:bCs/>
          <w:sz w:val="18"/>
          <w:szCs w:val="18"/>
        </w:rPr>
        <w:t>投资者</w:t>
      </w:r>
      <w:r>
        <w:rPr>
          <w:rFonts w:ascii="宋体" w:hAnsi="宋体" w:hint="eastAsia"/>
          <w:bCs/>
          <w:sz w:val="18"/>
          <w:szCs w:val="18"/>
        </w:rPr>
        <w:t>赎回申请、延缓支付赎回款项、</w:t>
      </w:r>
      <w:r>
        <w:rPr>
          <w:rFonts w:ascii="宋体" w:hAnsi="宋体"/>
          <w:bCs/>
          <w:sz w:val="18"/>
          <w:szCs w:val="18"/>
        </w:rPr>
        <w:t>巨额赎回</w:t>
      </w:r>
      <w:r>
        <w:rPr>
          <w:rFonts w:ascii="宋体" w:hAnsi="宋体" w:hint="eastAsia"/>
          <w:bCs/>
          <w:sz w:val="18"/>
          <w:szCs w:val="18"/>
        </w:rPr>
        <w:t>、暂停理财产品估值、采用摆动定价</w:t>
      </w:r>
      <w:r>
        <w:rPr>
          <w:rFonts w:ascii="宋体" w:hAnsi="宋体"/>
          <w:bCs/>
          <w:sz w:val="18"/>
          <w:szCs w:val="18"/>
        </w:rPr>
        <w:t>等</w:t>
      </w:r>
      <w:r>
        <w:rPr>
          <w:rFonts w:ascii="宋体" w:hAnsi="宋体" w:hint="eastAsia"/>
          <w:bCs/>
          <w:sz w:val="18"/>
          <w:szCs w:val="18"/>
        </w:rPr>
        <w:t>情形</w:t>
      </w:r>
      <w:r>
        <w:rPr>
          <w:rFonts w:ascii="宋体" w:hAnsi="宋体"/>
          <w:bCs/>
          <w:sz w:val="18"/>
          <w:szCs w:val="18"/>
        </w:rPr>
        <w:t>时，</w:t>
      </w:r>
      <w:r>
        <w:rPr>
          <w:rFonts w:ascii="宋体" w:hAnsi="宋体" w:hint="eastAsia"/>
          <w:sz w:val="18"/>
          <w:szCs w:val="18"/>
        </w:rPr>
        <w:t>产品管理人</w:t>
      </w:r>
      <w:r>
        <w:rPr>
          <w:rFonts w:ascii="宋体" w:hAnsi="宋体" w:hint="eastAsia"/>
          <w:bCs/>
          <w:sz w:val="18"/>
          <w:szCs w:val="18"/>
        </w:rPr>
        <w:t>将</w:t>
      </w:r>
      <w:r>
        <w:rPr>
          <w:rFonts w:ascii="宋体" w:hAnsi="宋体"/>
          <w:bCs/>
          <w:sz w:val="18"/>
          <w:szCs w:val="18"/>
        </w:rPr>
        <w:t>于3个</w:t>
      </w:r>
      <w:r>
        <w:rPr>
          <w:rFonts w:ascii="宋体" w:hAnsi="宋体" w:hint="eastAsia"/>
          <w:bCs/>
          <w:sz w:val="18"/>
          <w:szCs w:val="18"/>
        </w:rPr>
        <w:t>交易</w:t>
      </w:r>
      <w:r>
        <w:rPr>
          <w:rFonts w:ascii="宋体" w:hAnsi="宋体"/>
          <w:bCs/>
          <w:sz w:val="18"/>
          <w:szCs w:val="18"/>
        </w:rPr>
        <w:t>日</w:t>
      </w:r>
      <w:r>
        <w:rPr>
          <w:rFonts w:ascii="宋体" w:hAnsi="宋体" w:hint="eastAsia"/>
          <w:bCs/>
          <w:sz w:val="18"/>
          <w:szCs w:val="18"/>
        </w:rPr>
        <w:t>内告知投资者，并说明运用相关措施的原因和拟采取的应对安排等</w:t>
      </w:r>
      <w:r>
        <w:rPr>
          <w:rFonts w:ascii="宋体" w:hAnsi="宋体"/>
          <w:bCs/>
          <w:sz w:val="18"/>
          <w:szCs w:val="18"/>
        </w:rPr>
        <w:t>。</w:t>
      </w:r>
      <w:r>
        <w:rPr>
          <w:rFonts w:ascii="宋体" w:hAnsi="宋体" w:hint="eastAsia"/>
          <w:bCs/>
          <w:sz w:val="18"/>
          <w:szCs w:val="18"/>
        </w:rPr>
        <w:t>在发生涉及产品认购、申购或赎回事项调整或潜在影响投资者赎回等事项时，管理人将发布临时公告。</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rsidR="0089074A" w:rsidRDefault="00185114">
      <w:pPr>
        <w:spacing w:line="360" w:lineRule="auto"/>
        <w:ind w:firstLineChars="200" w:firstLine="361"/>
        <w:rPr>
          <w:rFonts w:ascii="黑体" w:eastAsia="黑体" w:hAnsi="黑体"/>
          <w:b/>
          <w:bCs/>
          <w:sz w:val="18"/>
          <w:szCs w:val="18"/>
        </w:rPr>
      </w:pPr>
      <w:r>
        <w:rPr>
          <w:rFonts w:ascii="黑体" w:eastAsia="黑体" w:hAnsi="黑体" w:hint="eastAsia"/>
          <w:b/>
          <w:bCs/>
          <w:sz w:val="18"/>
          <w:szCs w:val="18"/>
        </w:rPr>
        <w:t>（</w:t>
      </w:r>
      <w:r>
        <w:rPr>
          <w:rFonts w:ascii="黑体" w:eastAsia="黑体" w:hAnsi="黑体"/>
          <w:b/>
          <w:bCs/>
          <w:sz w:val="18"/>
          <w:szCs w:val="18"/>
        </w:rPr>
        <w:t>4）★在本产品存续期内，如因国家法律法规、监管规定发生变化，或是出于维护本产品正常运营的需要，在不损害投资者</w:t>
      </w:r>
      <w:r>
        <w:rPr>
          <w:rFonts w:ascii="黑体" w:eastAsia="黑体" w:hAnsi="黑体" w:hint="eastAsia"/>
          <w:b/>
          <w:bCs/>
          <w:sz w:val="18"/>
          <w:szCs w:val="18"/>
        </w:rPr>
        <w:t>权益</w:t>
      </w:r>
      <w:r>
        <w:rPr>
          <w:rFonts w:ascii="黑体" w:eastAsia="黑体" w:hAnsi="黑体"/>
          <w:b/>
          <w:bCs/>
          <w:sz w:val="18"/>
          <w:szCs w:val="18"/>
        </w:rPr>
        <w:t>的前提下，</w:t>
      </w:r>
      <w:r>
        <w:rPr>
          <w:rFonts w:ascii="黑体" w:eastAsia="黑体" w:hAnsi="黑体" w:hint="eastAsia"/>
          <w:b/>
          <w:bCs/>
          <w:sz w:val="18"/>
          <w:szCs w:val="18"/>
        </w:rPr>
        <w:t>产品管理人</w:t>
      </w:r>
      <w:r>
        <w:rPr>
          <w:rFonts w:ascii="黑体" w:eastAsia="黑体" w:hAnsi="黑体"/>
          <w:b/>
          <w:bCs/>
          <w:sz w:val="18"/>
          <w:szCs w:val="18"/>
        </w:rPr>
        <w:t>有权对</w:t>
      </w:r>
      <w:r>
        <w:rPr>
          <w:rFonts w:ascii="黑体" w:eastAsia="黑体" w:hAnsi="黑体" w:hint="eastAsia"/>
          <w:b/>
          <w:bCs/>
          <w:sz w:val="18"/>
          <w:szCs w:val="18"/>
        </w:rPr>
        <w:t>理财产品销售文件</w:t>
      </w:r>
      <w:r>
        <w:rPr>
          <w:rFonts w:ascii="黑体" w:eastAsia="黑体" w:hAnsi="黑体"/>
          <w:b/>
          <w:bCs/>
          <w:sz w:val="18"/>
          <w:szCs w:val="18"/>
        </w:rPr>
        <w:t>进行修订，并提前2个工作日进行</w:t>
      </w:r>
      <w:r>
        <w:rPr>
          <w:rFonts w:ascii="黑体" w:eastAsia="黑体" w:hAnsi="黑体" w:hint="eastAsia"/>
          <w:b/>
          <w:bCs/>
          <w:sz w:val="18"/>
          <w:szCs w:val="18"/>
        </w:rPr>
        <w:t>公告</w:t>
      </w:r>
      <w:r>
        <w:rPr>
          <w:rFonts w:ascii="黑体" w:eastAsia="黑体" w:hAnsi="黑体"/>
          <w:b/>
          <w:bCs/>
          <w:sz w:val="18"/>
          <w:szCs w:val="18"/>
        </w:rPr>
        <w:t>。</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w:t>
      </w:r>
      <w:r>
        <w:rPr>
          <w:rFonts w:ascii="宋体" w:hAnsi="宋体"/>
          <w:bCs/>
          <w:sz w:val="18"/>
          <w:szCs w:val="18"/>
        </w:rPr>
        <w:t>5）其他临时性公告</w:t>
      </w:r>
    </w:p>
    <w:p w:rsidR="0089074A" w:rsidRDefault="00185114">
      <w:pPr>
        <w:spacing w:line="360" w:lineRule="auto"/>
        <w:ind w:firstLineChars="200" w:firstLine="360"/>
        <w:rPr>
          <w:rFonts w:ascii="宋体" w:hAnsi="宋体"/>
          <w:bCs/>
          <w:sz w:val="18"/>
          <w:szCs w:val="18"/>
        </w:rPr>
      </w:pPr>
      <w:r>
        <w:rPr>
          <w:rFonts w:ascii="宋体" w:hAnsi="宋体" w:hint="eastAsia"/>
          <w:bCs/>
          <w:sz w:val="18"/>
          <w:szCs w:val="18"/>
        </w:rPr>
        <w:t>除前述事项外，如出现其他突发事件，需在事件发生后及时进行披露。</w:t>
      </w:r>
    </w:p>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rsidR="0089074A" w:rsidRDefault="00185114">
      <w:pPr>
        <w:spacing w:line="360" w:lineRule="auto"/>
        <w:ind w:firstLineChars="200" w:firstLine="361"/>
        <w:rPr>
          <w:rFonts w:ascii="黑体" w:eastAsia="黑体" w:hAnsi="黑体"/>
          <w:b/>
          <w:bCs/>
          <w:sz w:val="18"/>
          <w:szCs w:val="18"/>
        </w:rPr>
      </w:pPr>
      <w:r>
        <w:rPr>
          <w:rFonts w:ascii="黑体" w:eastAsia="黑体" w:hAnsi="黑体" w:hint="eastAsia"/>
          <w:b/>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eastAsia="黑体" w:hAnsi="黑体"/>
          <w:b/>
          <w:bCs/>
          <w:sz w:val="18"/>
          <w:szCs w:val="18"/>
        </w:rPr>
        <w:t>并提前2个工作日进行</w:t>
      </w:r>
      <w:r>
        <w:rPr>
          <w:rFonts w:ascii="黑体" w:eastAsia="黑体" w:hAnsi="黑体" w:hint="eastAsia"/>
          <w:b/>
          <w:bCs/>
          <w:sz w:val="18"/>
          <w:szCs w:val="18"/>
        </w:rPr>
        <w:t>公告。若投资者未选择退出本产品的，则视为已理解并接受管理人的相应变更。</w:t>
      </w:r>
    </w:p>
    <w:p w:rsidR="0089074A" w:rsidRDefault="00185114">
      <w:pPr>
        <w:spacing w:line="360" w:lineRule="auto"/>
        <w:ind w:firstLineChars="200" w:firstLine="480"/>
        <w:rPr>
          <w:bCs/>
          <w:sz w:val="24"/>
        </w:rPr>
      </w:pPr>
      <w:r>
        <w:rPr>
          <w:sz w:val="24"/>
        </w:rPr>
        <w:br w:type="page"/>
      </w:r>
    </w:p>
    <w:p w:rsidR="0089074A" w:rsidRDefault="00185114">
      <w:pPr>
        <w:pStyle w:val="1"/>
        <w:spacing w:before="0" w:after="0" w:line="360" w:lineRule="auto"/>
        <w:jc w:val="center"/>
        <w:rPr>
          <w:rFonts w:ascii="Times New Roman"/>
          <w:b w:val="0"/>
          <w:sz w:val="30"/>
        </w:rPr>
      </w:pPr>
      <w:bookmarkStart w:id="179" w:name="_Toc103260539"/>
      <w:bookmarkStart w:id="180" w:name="_Toc79154675"/>
      <w:bookmarkStart w:id="181" w:name="_Toc9986"/>
      <w:bookmarkStart w:id="182" w:name="_Toc92377141"/>
      <w:r>
        <w:rPr>
          <w:rFonts w:ascii="Times New Roman" w:hint="eastAsia"/>
          <w:sz w:val="30"/>
        </w:rPr>
        <w:lastRenderedPageBreak/>
        <w:t>第十二条</w:t>
      </w:r>
      <w:r>
        <w:rPr>
          <w:rFonts w:ascii="Times New Roman"/>
          <w:sz w:val="30"/>
        </w:rPr>
        <w:t xml:space="preserve">  </w:t>
      </w:r>
      <w:r>
        <w:rPr>
          <w:rFonts w:ascii="Times New Roman" w:hint="eastAsia"/>
          <w:sz w:val="30"/>
        </w:rPr>
        <w:t>理财产品</w:t>
      </w:r>
      <w:r>
        <w:rPr>
          <w:rFonts w:ascii="Times New Roman"/>
          <w:sz w:val="30"/>
        </w:rPr>
        <w:t>的风险揭示</w:t>
      </w:r>
      <w:bookmarkEnd w:id="179"/>
      <w:bookmarkEnd w:id="180"/>
      <w:bookmarkEnd w:id="181"/>
      <w:bookmarkEnd w:id="182"/>
    </w:p>
    <w:p w:rsidR="0089074A" w:rsidRDefault="00185114">
      <w:pPr>
        <w:spacing w:line="360" w:lineRule="auto"/>
        <w:ind w:firstLineChars="200" w:firstLine="361"/>
        <w:rPr>
          <w:rFonts w:ascii="宋体" w:hAnsi="宋体"/>
          <w:b/>
          <w:sz w:val="18"/>
          <w:szCs w:val="18"/>
        </w:rPr>
      </w:pPr>
      <w:r>
        <w:rPr>
          <w:rFonts w:ascii="宋体" w:hAnsi="宋体" w:hint="eastAsia"/>
          <w:b/>
          <w:sz w:val="18"/>
          <w:szCs w:val="18"/>
        </w:rPr>
        <w:t>（一）投资者投资本产品可能面临的特定风险主要包括（但不限于）：</w:t>
      </w:r>
    </w:p>
    <w:p w:rsidR="0089074A" w:rsidRDefault="00185114">
      <w:pPr>
        <w:spacing w:line="360" w:lineRule="auto"/>
        <w:ind w:firstLineChars="200" w:firstLine="360"/>
        <w:rPr>
          <w:rFonts w:ascii="宋体" w:hAnsi="宋体"/>
          <w:sz w:val="18"/>
          <w:szCs w:val="18"/>
        </w:rPr>
      </w:pPr>
      <w:permStart w:id="1838762037" w:edGrp="everyone"/>
      <w:r>
        <w:rPr>
          <w:rFonts w:ascii="宋体" w:hAnsi="宋体" w:hint="eastAsia"/>
          <w:sz w:val="18"/>
          <w:szCs w:val="18"/>
        </w:rPr>
        <w:t>1.拟投资市场和资产的风险：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（1）投资债权类资产的风险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1）投资标准化债权类资产的风险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ermEnd w:id="1838762037"/>
    <w:p w:rsidR="0089074A" w:rsidRDefault="00185114">
      <w:pPr>
        <w:spacing w:line="360" w:lineRule="auto"/>
        <w:ind w:firstLineChars="200" w:firstLine="360"/>
        <w:rPr>
          <w:rFonts w:ascii="黑体" w:eastAsia="黑体" w:hAnsi="黑体"/>
          <w:bCs/>
          <w:sz w:val="18"/>
          <w:szCs w:val="18"/>
        </w:rPr>
      </w:pPr>
      <w:r>
        <w:rPr>
          <w:rFonts w:ascii="黑体" w:eastAsia="黑体" w:hAnsi="黑体" w:hint="eastAsia"/>
          <w:bCs/>
          <w:sz w:val="18"/>
          <w:szCs w:val="18"/>
        </w:rPr>
        <w:t>★注：以上特定风险仅为列举性质，未能详尽列明投资本产品可能面临的全部风险和可能导致投资者投资本金及收益损失的所有因素。</w:t>
      </w:r>
    </w:p>
    <w:p w:rsidR="0089074A" w:rsidRDefault="00185114">
      <w:pPr>
        <w:spacing w:line="360" w:lineRule="auto"/>
        <w:ind w:firstLineChars="200" w:firstLine="361"/>
        <w:rPr>
          <w:rFonts w:ascii="宋体" w:hAnsi="宋体"/>
          <w:b/>
          <w:sz w:val="18"/>
          <w:szCs w:val="18"/>
        </w:rPr>
      </w:pPr>
      <w:r>
        <w:rPr>
          <w:rFonts w:ascii="宋体" w:hAnsi="宋体" w:hint="eastAsia"/>
          <w:b/>
          <w:sz w:val="18"/>
          <w:szCs w:val="18"/>
        </w:rPr>
        <w:t xml:space="preserve">（二）投资者投资本产品可能面临的一般风险主要包括（但不限于）： </w:t>
      </w:r>
    </w:p>
    <w:p w:rsidR="0089074A" w:rsidRDefault="00185114">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信用风险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rsidR="0089074A" w:rsidRDefault="00185114">
      <w:pPr>
        <w:spacing w:line="360" w:lineRule="auto"/>
        <w:ind w:firstLineChars="200" w:firstLine="360"/>
        <w:rPr>
          <w:rFonts w:ascii="宋体" w:hAnsi="宋体"/>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利率风险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3.市场</w:t>
      </w:r>
      <w:r>
        <w:rPr>
          <w:rFonts w:ascii="宋体" w:hAnsi="宋体"/>
          <w:sz w:val="18"/>
          <w:szCs w:val="18"/>
        </w:rPr>
        <w:t>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4.流动性风险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5.</w:t>
      </w:r>
      <w:r>
        <w:rPr>
          <w:rFonts w:ascii="宋体" w:hAnsi="宋体"/>
          <w:sz w:val="18"/>
          <w:szCs w:val="18"/>
        </w:rPr>
        <w:t>法律与政策风险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lastRenderedPageBreak/>
        <w:t>国家监管政策、货币政策、财政税收政策、产业政策、宏观政策及相关法律、法规的调整与变化将会影响本产品的设立、投资及管理等的正常运行，甚至导致本产品发生损失。</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6.</w:t>
      </w:r>
      <w:r>
        <w:rPr>
          <w:rFonts w:ascii="宋体" w:hAnsi="宋体"/>
          <w:sz w:val="18"/>
          <w:szCs w:val="18"/>
        </w:rPr>
        <w:t>延期</w:t>
      </w:r>
      <w:r>
        <w:rPr>
          <w:rFonts w:ascii="宋体" w:hAnsi="宋体" w:hint="eastAsia"/>
          <w:sz w:val="18"/>
          <w:szCs w:val="18"/>
        </w:rPr>
        <w:t>终止</w:t>
      </w:r>
      <w:r>
        <w:rPr>
          <w:rFonts w:ascii="宋体" w:hAnsi="宋体"/>
          <w:sz w:val="18"/>
          <w:szCs w:val="18"/>
        </w:rPr>
        <w:t>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指因市场内部和外部的原因导致理财基础资产不能及时变现而造成理财产品不能按时分配，理财期限将相应延长，从而导致本产品部分资金的延期分配。</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7.</w:t>
      </w:r>
      <w:r>
        <w:rPr>
          <w:rFonts w:ascii="宋体" w:hAnsi="宋体"/>
          <w:sz w:val="18"/>
          <w:szCs w:val="18"/>
        </w:rPr>
        <w:t>提前终止风险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rsidR="0089074A" w:rsidRDefault="00185114">
      <w:pPr>
        <w:spacing w:line="360" w:lineRule="auto"/>
        <w:ind w:firstLineChars="200" w:firstLine="360"/>
        <w:rPr>
          <w:rFonts w:ascii="黑体" w:eastAsia="黑体" w:hAnsi="黑体"/>
          <w:sz w:val="18"/>
          <w:szCs w:val="18"/>
        </w:rPr>
      </w:pPr>
      <w:r>
        <w:rPr>
          <w:rFonts w:ascii="黑体" w:eastAsia="黑体" w:hAnsi="黑体" w:hint="eastAsia"/>
          <w:sz w:val="18"/>
          <w:szCs w:val="18"/>
        </w:rPr>
        <w:t>8</w:t>
      </w:r>
      <w:r>
        <w:rPr>
          <w:rFonts w:ascii="黑体" w:eastAsia="黑体" w:hAnsi="黑体"/>
          <w:sz w:val="18"/>
          <w:szCs w:val="18"/>
        </w:rPr>
        <w:t>.★信息传递风险</w:t>
      </w:r>
    </w:p>
    <w:p w:rsidR="0089074A" w:rsidRDefault="00185114">
      <w:pPr>
        <w:spacing w:line="360" w:lineRule="auto"/>
        <w:ind w:firstLineChars="200" w:firstLine="360"/>
        <w:rPr>
          <w:rFonts w:ascii="黑体" w:eastAsia="黑体" w:hAnsi="黑体"/>
          <w:sz w:val="18"/>
          <w:szCs w:val="18"/>
        </w:rPr>
      </w:pPr>
      <w:r>
        <w:rPr>
          <w:rFonts w:ascii="黑体" w:eastAsia="黑体" w:hAnsi="黑体" w:hint="eastAsia"/>
          <w:sz w:val="18"/>
          <w:szCs w:val="18"/>
        </w:rPr>
        <w:t>投资者需要通过约定的信息披露渠道了解产品相关信息公告。具体公告方式以理财产品</w:t>
      </w:r>
      <w:r>
        <w:rPr>
          <w:rFonts w:ascii="黑体" w:eastAsia="黑体" w:hAnsi="黑体"/>
          <w:sz w:val="18"/>
          <w:szCs w:val="18"/>
        </w:rPr>
        <w:t>销售文件</w:t>
      </w:r>
      <w:r>
        <w:rPr>
          <w:rFonts w:ascii="黑体" w:eastAsia="黑体" w:hAnsi="黑体" w:hint="eastAsia"/>
          <w:sz w:val="18"/>
          <w:szCs w:val="18"/>
        </w:rPr>
        <w:t>所载明的公告方式为准。投资者应根据本产品说明书所载明的公告方式及时查询本理财产品的相关信息。</w:t>
      </w:r>
      <w:r>
        <w:rPr>
          <w:rFonts w:ascii="黑体" w:eastAsia="黑体" w:hAnsi="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ascii="黑体" w:eastAsia="黑体" w:hAnsi="黑体" w:hint="eastAsia"/>
          <w:sz w:val="18"/>
          <w:szCs w:val="18"/>
        </w:rPr>
        <w:t>产品管理人</w:t>
      </w:r>
      <w:r>
        <w:rPr>
          <w:rFonts w:ascii="黑体" w:eastAsia="黑体" w:hAnsi="黑体"/>
          <w:sz w:val="18"/>
          <w:szCs w:val="18"/>
        </w:rPr>
        <w:t>的，致使在需要联系投资者时无法及时联系并可能会由此影响投资者的投资决策，由此而产生的责任和风险由投资者自行承担。</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9.</w:t>
      </w:r>
      <w:r>
        <w:rPr>
          <w:rFonts w:ascii="宋体" w:hAnsi="宋体"/>
          <w:sz w:val="18"/>
          <w:szCs w:val="18"/>
        </w:rPr>
        <w:t>不可抗力及意外事件风险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因战争、自然灾害、重大政治事件等不可抗力以及其他不可预见的意外事件可能致使理财产品面临损失的风险。</w:t>
      </w:r>
    </w:p>
    <w:p w:rsidR="0089074A" w:rsidRDefault="00185114">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0.</w:t>
      </w:r>
      <w:r>
        <w:rPr>
          <w:rFonts w:ascii="宋体" w:hAnsi="宋体"/>
          <w:sz w:val="18"/>
          <w:szCs w:val="18"/>
        </w:rPr>
        <w:t>管理人风险</w:t>
      </w:r>
    </w:p>
    <w:p w:rsidR="0089074A" w:rsidRDefault="00185114">
      <w:pPr>
        <w:spacing w:line="360" w:lineRule="auto"/>
        <w:ind w:firstLineChars="200" w:firstLine="360"/>
        <w:rPr>
          <w:rFonts w:ascii="宋体" w:hAnsi="宋体"/>
          <w:bCs/>
          <w:sz w:val="18"/>
          <w:szCs w:val="18"/>
        </w:rPr>
      </w:pPr>
      <w:r>
        <w:rPr>
          <w:rFonts w:ascii="宋体" w:hAnsi="宋体" w:hint="eastAsia"/>
          <w:sz w:val="18"/>
          <w:szCs w:val="18"/>
        </w:rPr>
        <w:t>理财产品管理人或理财投资资产相关服务机构受经验、技能等因素的限制，或者上述主体处理事务不当等，可能导致投资者遭受损失。</w:t>
      </w:r>
    </w:p>
    <w:p w:rsidR="0089074A" w:rsidRDefault="00185114">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1.理财产品不成立风险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如自本产品开始募集至认购期结束认购总金额未达到产品最小成立规模（如有约定），或</w:t>
      </w:r>
      <w:r>
        <w:rPr>
          <w:rFonts w:ascii="宋体" w:hAnsi="宋体"/>
          <w:sz w:val="18"/>
          <w:szCs w:val="18"/>
        </w:rPr>
        <w:t>融资人取消</w:t>
      </w:r>
      <w:r>
        <w:rPr>
          <w:rFonts w:ascii="宋体" w:hAnsi="宋体" w:hint="eastAsia"/>
          <w:sz w:val="18"/>
          <w:szCs w:val="18"/>
        </w:rPr>
        <w:t>融资</w:t>
      </w:r>
      <w:r>
        <w:rPr>
          <w:rFonts w:ascii="宋体" w:hAnsi="宋体"/>
          <w:sz w:val="18"/>
          <w:szCs w:val="18"/>
        </w:rPr>
        <w:t>计划，</w:t>
      </w:r>
      <w:r>
        <w:rPr>
          <w:rFonts w:ascii="宋体" w:hAnsi="宋体" w:hint="eastAsia"/>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ascii="宋体" w:hAnsi="宋体" w:hint="eastAsia"/>
          <w:sz w:val="18"/>
          <w:szCs w:val="18"/>
        </w:rPr>
        <w:t>，投资者将承担投资本产品不成立的风险。</w:t>
      </w:r>
    </w:p>
    <w:p w:rsidR="0089074A" w:rsidRDefault="00185114">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2.</w:t>
      </w:r>
      <w:r>
        <w:rPr>
          <w:rFonts w:ascii="宋体" w:hAnsi="宋体"/>
          <w:sz w:val="18"/>
          <w:szCs w:val="18"/>
        </w:rPr>
        <w:t>操作风险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由于产品管理人的</w:t>
      </w:r>
      <w:r>
        <w:rPr>
          <w:rFonts w:ascii="宋体" w:hAnsi="宋体"/>
          <w:sz w:val="18"/>
          <w:szCs w:val="18"/>
        </w:rPr>
        <w:t>不完善或有问题的内部程序、员工和信息科技系统，以及外部事件所造成损失的风险。</w:t>
      </w:r>
    </w:p>
    <w:p w:rsidR="0089074A" w:rsidRDefault="00185114">
      <w:pPr>
        <w:spacing w:line="360" w:lineRule="auto"/>
        <w:ind w:firstLineChars="200" w:firstLine="360"/>
        <w:rPr>
          <w:rFonts w:ascii="宋体" w:hAnsi="宋体"/>
          <w:sz w:val="18"/>
          <w:szCs w:val="18"/>
        </w:rPr>
      </w:pPr>
      <w:r>
        <w:rPr>
          <w:rFonts w:ascii="宋体" w:hAnsi="宋体"/>
          <w:sz w:val="18"/>
          <w:szCs w:val="18"/>
        </w:rPr>
        <w:lastRenderedPageBreak/>
        <w:t>1</w:t>
      </w:r>
      <w:r>
        <w:rPr>
          <w:rFonts w:ascii="宋体" w:hAnsi="宋体" w:hint="eastAsia"/>
          <w:sz w:val="18"/>
          <w:szCs w:val="18"/>
        </w:rPr>
        <w:t>3</w:t>
      </w:r>
      <w:r>
        <w:rPr>
          <w:rFonts w:ascii="宋体" w:hAnsi="宋体"/>
          <w:sz w:val="18"/>
          <w:szCs w:val="18"/>
        </w:rPr>
        <w:t>.估值</w:t>
      </w:r>
      <w:r>
        <w:rPr>
          <w:rFonts w:ascii="宋体" w:hAnsi="宋体" w:hint="eastAsia"/>
          <w:sz w:val="18"/>
          <w:szCs w:val="18"/>
        </w:rPr>
        <w:t>波动</w:t>
      </w:r>
      <w:r>
        <w:rPr>
          <w:rFonts w:ascii="宋体" w:hAnsi="宋体"/>
          <w:sz w:val="18"/>
          <w:szCs w:val="18"/>
        </w:rPr>
        <w:t>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本理财产品可能</w:t>
      </w:r>
      <w:r>
        <w:rPr>
          <w:rFonts w:ascii="宋体" w:hAnsi="宋体"/>
          <w:sz w:val="18"/>
          <w:szCs w:val="18"/>
        </w:rPr>
        <w:t>投资符合监管</w:t>
      </w:r>
      <w:r>
        <w:rPr>
          <w:rFonts w:ascii="宋体" w:hAnsi="宋体" w:hint="eastAsia"/>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ascii="宋体" w:hAnsi="宋体" w:hint="eastAsia"/>
          <w:sz w:val="18"/>
          <w:szCs w:val="18"/>
        </w:rPr>
        <w:t>当前述资产管理产品计提业绩报酬时，本理财产品的产品份额净值存在下跌的风险。</w:t>
      </w:r>
    </w:p>
    <w:p w:rsidR="0089074A" w:rsidRDefault="00185114">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4.</w:t>
      </w:r>
      <w:r>
        <w:rPr>
          <w:rFonts w:ascii="宋体" w:hAnsi="宋体"/>
          <w:sz w:val="18"/>
          <w:szCs w:val="18"/>
        </w:rPr>
        <w:t>估值差错风险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理财投资基础资产时涉及对资产估值不准确、及时的，理财产品管理人及产品托管人对理财产品费用计提出现错误，将导致本产品估值差错，可能影响理财产品份额净值。</w:t>
      </w:r>
    </w:p>
    <w:p w:rsidR="0089074A" w:rsidRDefault="00185114">
      <w:pPr>
        <w:spacing w:line="360" w:lineRule="auto"/>
        <w:ind w:firstLineChars="200" w:firstLine="360"/>
        <w:rPr>
          <w:rFonts w:ascii="黑体" w:eastAsia="黑体" w:hAnsi="黑体" w:cs="黑体"/>
          <w:sz w:val="18"/>
          <w:szCs w:val="18"/>
        </w:rPr>
      </w:pPr>
      <w:r>
        <w:rPr>
          <w:rFonts w:ascii="黑体" w:eastAsia="黑体" w:hAnsi="黑体" w:cs="黑体" w:hint="eastAsia"/>
          <w:sz w:val="18"/>
          <w:szCs w:val="18"/>
        </w:rPr>
        <w:t>15.★代销风险</w:t>
      </w:r>
    </w:p>
    <w:p w:rsidR="0089074A" w:rsidRDefault="00185114">
      <w:pPr>
        <w:spacing w:line="360" w:lineRule="auto"/>
        <w:ind w:firstLineChars="200" w:firstLine="360"/>
        <w:rPr>
          <w:rFonts w:ascii="黑体" w:eastAsia="黑体" w:hAnsi="黑体" w:cs="黑体"/>
          <w:sz w:val="18"/>
          <w:szCs w:val="18"/>
        </w:rPr>
      </w:pPr>
      <w:r>
        <w:rPr>
          <w:rFonts w:ascii="黑体" w:eastAsia="黑体" w:hAnsi="黑体" w:cs="黑体" w:hint="eastAsia"/>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rsidR="0089074A" w:rsidRDefault="00185114">
      <w:pPr>
        <w:spacing w:line="360" w:lineRule="auto"/>
        <w:ind w:firstLineChars="200" w:firstLine="360"/>
        <w:rPr>
          <w:rFonts w:ascii="黑体" w:eastAsia="黑体" w:hAnsi="黑体"/>
          <w:sz w:val="18"/>
          <w:szCs w:val="18"/>
        </w:rPr>
      </w:pPr>
      <w:r>
        <w:rPr>
          <w:rFonts w:ascii="黑体" w:eastAsia="黑体" w:hAnsi="黑体"/>
          <w:sz w:val="18"/>
          <w:szCs w:val="18"/>
        </w:rPr>
        <w:t>1</w:t>
      </w:r>
      <w:r>
        <w:rPr>
          <w:rFonts w:ascii="黑体" w:eastAsia="黑体" w:hAnsi="黑体" w:hint="eastAsia"/>
          <w:sz w:val="18"/>
          <w:szCs w:val="18"/>
        </w:rPr>
        <w:t>6</w:t>
      </w:r>
      <w:r>
        <w:rPr>
          <w:rFonts w:ascii="黑体" w:eastAsia="黑体" w:hAnsi="黑体"/>
          <w:sz w:val="18"/>
          <w:szCs w:val="18"/>
        </w:rPr>
        <w:t>.</w:t>
      </w:r>
      <w:r>
        <w:rPr>
          <w:rFonts w:ascii="黑体" w:eastAsia="黑体" w:hAnsi="黑体" w:hint="eastAsia"/>
          <w:sz w:val="18"/>
          <w:szCs w:val="18"/>
        </w:rPr>
        <w:t>★不同理财产品份额类别存在差异的风险</w:t>
      </w:r>
    </w:p>
    <w:p w:rsidR="0089074A" w:rsidRDefault="00185114">
      <w:pPr>
        <w:spacing w:line="360" w:lineRule="auto"/>
        <w:ind w:firstLineChars="200" w:firstLine="360"/>
        <w:rPr>
          <w:rFonts w:ascii="黑体" w:eastAsia="黑体" w:hAnsi="黑体"/>
          <w:sz w:val="18"/>
          <w:szCs w:val="18"/>
        </w:rPr>
      </w:pPr>
      <w:r>
        <w:rPr>
          <w:rFonts w:ascii="黑体" w:eastAsia="黑体" w:hAnsi="黑体" w:hint="eastAsia"/>
          <w:sz w:val="18"/>
          <w:szCs w:val="18"/>
        </w:rPr>
        <w:t>理财产品管理人可根据投资者购买理财产品的金额、销售</w:t>
      </w:r>
      <w:r>
        <w:rPr>
          <w:rFonts w:ascii="黑体" w:eastAsia="黑体" w:hAnsi="黑体"/>
          <w:sz w:val="18"/>
          <w:szCs w:val="18"/>
        </w:rPr>
        <w:t>渠道</w:t>
      </w:r>
      <w:r>
        <w:rPr>
          <w:rFonts w:ascii="黑体" w:eastAsia="黑体" w:hAnsi="黑体" w:hint="eastAsia"/>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eastAsia="黑体" w:hAnsi="黑体"/>
          <w:sz w:val="18"/>
          <w:szCs w:val="18"/>
        </w:rPr>
        <w:t>起点金额</w:t>
      </w:r>
      <w:r>
        <w:rPr>
          <w:rFonts w:ascii="黑体" w:eastAsia="黑体" w:hAnsi="黑体" w:hint="eastAsia"/>
          <w:sz w:val="18"/>
          <w:szCs w:val="18"/>
        </w:rPr>
        <w:t>）、投资者认购申购和赎回的数量限制、投资者持有本产品的最高限额最低限额、计算和公告产品份额净值方面存在差异。</w:t>
      </w:r>
    </w:p>
    <w:p w:rsidR="0089074A" w:rsidRDefault="00185114">
      <w:pPr>
        <w:spacing w:line="360" w:lineRule="auto"/>
        <w:ind w:firstLineChars="200" w:firstLine="360"/>
        <w:rPr>
          <w:rFonts w:ascii="宋体" w:hAnsi="宋体"/>
          <w:sz w:val="18"/>
          <w:szCs w:val="18"/>
        </w:rPr>
      </w:pPr>
      <w:r>
        <w:rPr>
          <w:rFonts w:ascii="宋体" w:hAnsi="宋体"/>
          <w:sz w:val="18"/>
          <w:szCs w:val="18"/>
        </w:rPr>
        <w:t>1</w:t>
      </w:r>
      <w:r>
        <w:rPr>
          <w:rFonts w:ascii="宋体" w:hAnsi="宋体" w:hint="eastAsia"/>
          <w:sz w:val="18"/>
          <w:szCs w:val="18"/>
        </w:rPr>
        <w:t>7</w:t>
      </w:r>
      <w:r>
        <w:rPr>
          <w:rFonts w:ascii="宋体" w:hAnsi="宋体"/>
          <w:sz w:val="18"/>
          <w:szCs w:val="18"/>
        </w:rPr>
        <w:t>.</w:t>
      </w:r>
      <w:r>
        <w:rPr>
          <w:rFonts w:ascii="宋体" w:hAnsi="宋体" w:hint="eastAsia"/>
          <w:sz w:val="18"/>
          <w:szCs w:val="18"/>
        </w:rPr>
        <w:t>关联交易风险</w:t>
      </w:r>
    </w:p>
    <w:p w:rsidR="0089074A" w:rsidRDefault="00185114">
      <w:pPr>
        <w:spacing w:line="360" w:lineRule="auto"/>
        <w:ind w:firstLineChars="200" w:firstLine="360"/>
        <w:rPr>
          <w:rFonts w:ascii="宋体" w:hAnsi="宋体"/>
          <w:sz w:val="18"/>
          <w:szCs w:val="18"/>
        </w:rPr>
      </w:pPr>
      <w:r>
        <w:rPr>
          <w:rFonts w:ascii="宋体" w:hAnsi="宋体" w:hint="eastAsia"/>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ascii="宋体" w:hAnsi="宋体" w:hint="eastAsia"/>
          <w:sz w:val="18"/>
          <w:szCs w:val="18"/>
        </w:rPr>
        <w:t>仍可能产生</w:t>
      </w:r>
      <w:r>
        <w:rPr>
          <w:rFonts w:ascii="宋体" w:hAnsi="宋体"/>
          <w:sz w:val="18"/>
          <w:szCs w:val="18"/>
        </w:rPr>
        <w:t>不利影响和投资</w:t>
      </w:r>
      <w:r>
        <w:rPr>
          <w:rFonts w:ascii="宋体" w:hAnsi="宋体" w:hint="eastAsia"/>
          <w:sz w:val="18"/>
          <w:szCs w:val="18"/>
        </w:rPr>
        <w:t>风险，进而可能影响投资者的利益。</w:t>
      </w:r>
    </w:p>
    <w:p w:rsidR="0089074A" w:rsidRDefault="00185114">
      <w:pPr>
        <w:spacing w:line="360" w:lineRule="auto"/>
        <w:ind w:firstLineChars="200" w:firstLine="360"/>
        <w:rPr>
          <w:rFonts w:hAnsi="宋体"/>
          <w:sz w:val="18"/>
          <w:szCs w:val="18"/>
        </w:rPr>
      </w:pPr>
      <w:r>
        <w:rPr>
          <w:rFonts w:ascii="黑体" w:eastAsia="黑体" w:hAnsi="黑体" w:hint="eastAsia"/>
          <w:sz w:val="18"/>
          <w:szCs w:val="18"/>
        </w:rPr>
        <w:t>（</w:t>
      </w:r>
      <w:r>
        <w:rPr>
          <w:rFonts w:ascii="黑体" w:eastAsia="黑体" w:hAnsi="黑体"/>
          <w:sz w:val="18"/>
          <w:szCs w:val="18"/>
        </w:rPr>
        <w:t>三</w:t>
      </w:r>
      <w:r>
        <w:rPr>
          <w:rFonts w:ascii="黑体" w:eastAsia="黑体" w:hAnsi="黑体" w:hint="eastAsia"/>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eastAsia="黑体" w:hAnsi="黑体"/>
          <w:sz w:val="18"/>
          <w:szCs w:val="18"/>
        </w:rPr>
        <w:t>，甚至投资者的投资本金将遭受损失，在最不利的极端情况下，投资者可能损失全部本金。</w:t>
      </w:r>
    </w:p>
    <w:p w:rsidR="0089074A" w:rsidRDefault="0089074A">
      <w:pPr>
        <w:spacing w:line="360" w:lineRule="auto"/>
        <w:ind w:firstLineChars="200" w:firstLine="360"/>
        <w:rPr>
          <w:rFonts w:ascii="宋体" w:hAnsi="宋体"/>
          <w:sz w:val="18"/>
          <w:szCs w:val="18"/>
        </w:rPr>
      </w:pPr>
    </w:p>
    <w:p w:rsidR="0089074A" w:rsidRDefault="0089074A">
      <w:pPr>
        <w:pStyle w:val="Default"/>
        <w:spacing w:line="360" w:lineRule="auto"/>
        <w:rPr>
          <w:rFonts w:hAnsi="宋体"/>
          <w:sz w:val="18"/>
          <w:szCs w:val="18"/>
        </w:rPr>
      </w:pPr>
    </w:p>
    <w:sectPr w:rsidR="0089074A">
      <w:headerReference w:type="default" r:id="rId26"/>
      <w:footerReference w:type="default" r:id="rId27"/>
      <w:pgSz w:w="11906" w:h="16838"/>
      <w:pgMar w:top="1276" w:right="1800" w:bottom="1418" w:left="1800" w:header="567" w:footer="964"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339F" w:rsidRDefault="005D339F">
      <w:r>
        <w:separator/>
      </w:r>
    </w:p>
  </w:endnote>
  <w:endnote w:type="continuationSeparator" w:id="0">
    <w:p w:rsidR="005D339F" w:rsidRDefault="005D3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715647"/>
    </w:sdtPr>
    <w:sdtEndPr/>
    <w:sdtContent>
      <w:p w:rsidR="00B731D0" w:rsidRDefault="00B731D0">
        <w:pPr>
          <w:pStyle w:val="a9"/>
          <w:jc w:val="center"/>
        </w:pPr>
        <w:r>
          <w:fldChar w:fldCharType="begin"/>
        </w:r>
        <w:r>
          <w:instrText xml:space="preserve"> PAGE   \* MERGEFORMAT </w:instrText>
        </w:r>
        <w:r>
          <w:fldChar w:fldCharType="separate"/>
        </w:r>
        <w:r w:rsidR="00604DB0" w:rsidRPr="00604DB0">
          <w:rPr>
            <w:noProof/>
            <w:lang w:val="zh-CN"/>
          </w:rPr>
          <w:t>21</w:t>
        </w:r>
        <w:r>
          <w:fldChar w:fldCharType="end"/>
        </w:r>
      </w:p>
    </w:sdtContent>
  </w:sdt>
  <w:p w:rsidR="00B731D0" w:rsidRDefault="00B731D0">
    <w:pPr>
      <w:pStyle w:val="a5"/>
      <w:jc w:val="both"/>
      <w:rPr>
        <w:rFonts w:ascii="黑体" w:eastAsia="黑体" w:hAnsi="黑体"/>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339F" w:rsidRDefault="005D339F">
      <w:r>
        <w:separator/>
      </w:r>
    </w:p>
  </w:footnote>
  <w:footnote w:type="continuationSeparator" w:id="0">
    <w:p w:rsidR="005D339F" w:rsidRDefault="005D33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31D0" w:rsidRDefault="00B731D0">
    <w:pPr>
      <w:pStyle w:val="aa"/>
      <w:jc w:val="right"/>
      <w:rPr>
        <w:rFonts w:ascii="Times New Roman" w:hAnsi="Times New Roman" w:cs="Times New Roman"/>
        <w:b/>
        <w:szCs w:val="20"/>
      </w:rPr>
    </w:pPr>
    <w:r>
      <w:rPr>
        <w:rFonts w:hint="eastAsia"/>
      </w:rPr>
      <w:t xml:space="preserve"> </w:t>
    </w:r>
    <w:r>
      <w:rPr>
        <w:rFonts w:ascii="Times New Roman" w:hAnsi="Times New Roman" w:cs="Times New Roman" w:hint="eastAsia"/>
        <w:b/>
        <w:szCs w:val="20"/>
      </w:rPr>
      <w:t>产品说明书</w:t>
    </w:r>
  </w:p>
  <w:p w:rsidR="00B731D0" w:rsidRDefault="00B731D0">
    <w:pPr>
      <w:pStyle w:val="aa"/>
      <w:jc w:val="right"/>
      <w:rPr>
        <w:rFonts w:ascii="Times New Roman" w:hAnsi="Times New Roman" w:cs="Times New Roman"/>
        <w:b/>
        <w:szCs w:val="20"/>
      </w:rPr>
    </w:pPr>
    <w:r>
      <w:rPr>
        <w:rFonts w:ascii="Times New Roman" w:hAnsi="Times New Roman" w:cs="Times New Roman" w:hint="eastAsia"/>
        <w:b/>
        <w:szCs w:val="20"/>
      </w:rPr>
      <w:t>注：本文件由兴银理财有限责任公司统一编制</w:t>
    </w:r>
  </w:p>
  <w:p w:rsidR="00B731D0" w:rsidRDefault="00B731D0">
    <w:pPr>
      <w:pStyle w:val="aa"/>
      <w:pBdr>
        <w:bottom w:val="none" w:sz="0" w:space="0"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A"/>
    <w:multiLevelType w:val="singleLevel"/>
    <w:tmpl w:val="0000000A"/>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enforcement="1" w:cryptProviderType="rsaAES" w:cryptAlgorithmClass="hash" w:cryptAlgorithmType="typeAny" w:cryptAlgorithmSid="14" w:cryptSpinCount="100000" w:hash="XBAfdw8oLS6JcumGd5cqj97M5kw4dg/DAVfrda+O5Ekc4eH+8QQFtnaoB/9rsZNtX69Up+118arNGNkL4pAQZw==" w:salt="IVX8wyqufac6EQsoh/wX2Q=="/>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6E7124"/>
    <w:rsid w:val="0000208C"/>
    <w:rsid w:val="00002480"/>
    <w:rsid w:val="00007765"/>
    <w:rsid w:val="00010B19"/>
    <w:rsid w:val="0001202B"/>
    <w:rsid w:val="000124BB"/>
    <w:rsid w:val="00014A51"/>
    <w:rsid w:val="000160F8"/>
    <w:rsid w:val="00020E26"/>
    <w:rsid w:val="00022093"/>
    <w:rsid w:val="000240C1"/>
    <w:rsid w:val="0002421F"/>
    <w:rsid w:val="00024B59"/>
    <w:rsid w:val="00024D52"/>
    <w:rsid w:val="000257FD"/>
    <w:rsid w:val="00026801"/>
    <w:rsid w:val="0002771C"/>
    <w:rsid w:val="00027CAD"/>
    <w:rsid w:val="000307FF"/>
    <w:rsid w:val="00030826"/>
    <w:rsid w:val="000308D2"/>
    <w:rsid w:val="000310FD"/>
    <w:rsid w:val="00033D3E"/>
    <w:rsid w:val="000360AD"/>
    <w:rsid w:val="00036724"/>
    <w:rsid w:val="0004119D"/>
    <w:rsid w:val="0004124F"/>
    <w:rsid w:val="00042C76"/>
    <w:rsid w:val="00042CE7"/>
    <w:rsid w:val="00043266"/>
    <w:rsid w:val="000438E6"/>
    <w:rsid w:val="00044823"/>
    <w:rsid w:val="00045941"/>
    <w:rsid w:val="00050766"/>
    <w:rsid w:val="0005088E"/>
    <w:rsid w:val="00051DE2"/>
    <w:rsid w:val="00055773"/>
    <w:rsid w:val="000565A5"/>
    <w:rsid w:val="0005743B"/>
    <w:rsid w:val="00057BC6"/>
    <w:rsid w:val="0006031B"/>
    <w:rsid w:val="00061C70"/>
    <w:rsid w:val="00062695"/>
    <w:rsid w:val="000629DD"/>
    <w:rsid w:val="00063B03"/>
    <w:rsid w:val="000705EE"/>
    <w:rsid w:val="00071002"/>
    <w:rsid w:val="0007152B"/>
    <w:rsid w:val="00073A90"/>
    <w:rsid w:val="000747D8"/>
    <w:rsid w:val="0007672E"/>
    <w:rsid w:val="0007760F"/>
    <w:rsid w:val="000776F7"/>
    <w:rsid w:val="00077A54"/>
    <w:rsid w:val="00077C13"/>
    <w:rsid w:val="00080277"/>
    <w:rsid w:val="0008037A"/>
    <w:rsid w:val="00080815"/>
    <w:rsid w:val="00081DC7"/>
    <w:rsid w:val="000826C9"/>
    <w:rsid w:val="00082E45"/>
    <w:rsid w:val="00085DD5"/>
    <w:rsid w:val="0009086F"/>
    <w:rsid w:val="00091121"/>
    <w:rsid w:val="00092A5F"/>
    <w:rsid w:val="00093A71"/>
    <w:rsid w:val="00094CA6"/>
    <w:rsid w:val="00094DDA"/>
    <w:rsid w:val="00095235"/>
    <w:rsid w:val="00097047"/>
    <w:rsid w:val="000A0882"/>
    <w:rsid w:val="000A0CC9"/>
    <w:rsid w:val="000A0DC8"/>
    <w:rsid w:val="000A1E0C"/>
    <w:rsid w:val="000A3063"/>
    <w:rsid w:val="000A35E5"/>
    <w:rsid w:val="000A45C6"/>
    <w:rsid w:val="000A57AC"/>
    <w:rsid w:val="000A5A4A"/>
    <w:rsid w:val="000A5AAB"/>
    <w:rsid w:val="000B00D8"/>
    <w:rsid w:val="000B2D04"/>
    <w:rsid w:val="000B378B"/>
    <w:rsid w:val="000B6819"/>
    <w:rsid w:val="000B7F67"/>
    <w:rsid w:val="000C31AC"/>
    <w:rsid w:val="000C3B81"/>
    <w:rsid w:val="000C426E"/>
    <w:rsid w:val="000C69CB"/>
    <w:rsid w:val="000C6BF4"/>
    <w:rsid w:val="000C7C96"/>
    <w:rsid w:val="000D0C3A"/>
    <w:rsid w:val="000D10B1"/>
    <w:rsid w:val="000D1473"/>
    <w:rsid w:val="000D19CF"/>
    <w:rsid w:val="000D2623"/>
    <w:rsid w:val="000D3A43"/>
    <w:rsid w:val="000D3E2A"/>
    <w:rsid w:val="000D4DAE"/>
    <w:rsid w:val="000D548F"/>
    <w:rsid w:val="000D591B"/>
    <w:rsid w:val="000E008C"/>
    <w:rsid w:val="000E10C7"/>
    <w:rsid w:val="000E181B"/>
    <w:rsid w:val="000E18C8"/>
    <w:rsid w:val="000E2054"/>
    <w:rsid w:val="000E5A74"/>
    <w:rsid w:val="000E7029"/>
    <w:rsid w:val="000E798C"/>
    <w:rsid w:val="000E7BB9"/>
    <w:rsid w:val="000F09FA"/>
    <w:rsid w:val="000F4322"/>
    <w:rsid w:val="000F556F"/>
    <w:rsid w:val="000F7FB5"/>
    <w:rsid w:val="00100295"/>
    <w:rsid w:val="00100789"/>
    <w:rsid w:val="00100D6E"/>
    <w:rsid w:val="00103221"/>
    <w:rsid w:val="001048D9"/>
    <w:rsid w:val="00104FAF"/>
    <w:rsid w:val="0010605A"/>
    <w:rsid w:val="0011092D"/>
    <w:rsid w:val="00111430"/>
    <w:rsid w:val="00112922"/>
    <w:rsid w:val="001139C8"/>
    <w:rsid w:val="001157E6"/>
    <w:rsid w:val="00115A4C"/>
    <w:rsid w:val="00116240"/>
    <w:rsid w:val="00117B00"/>
    <w:rsid w:val="00121A98"/>
    <w:rsid w:val="00122AA4"/>
    <w:rsid w:val="00122E28"/>
    <w:rsid w:val="001232D0"/>
    <w:rsid w:val="00123BAC"/>
    <w:rsid w:val="0012639A"/>
    <w:rsid w:val="00127FAE"/>
    <w:rsid w:val="00134EC8"/>
    <w:rsid w:val="00140FD0"/>
    <w:rsid w:val="00142E86"/>
    <w:rsid w:val="00144336"/>
    <w:rsid w:val="00144A06"/>
    <w:rsid w:val="00144E84"/>
    <w:rsid w:val="00146F91"/>
    <w:rsid w:val="001507DF"/>
    <w:rsid w:val="00152824"/>
    <w:rsid w:val="00153415"/>
    <w:rsid w:val="001547CA"/>
    <w:rsid w:val="00154F9C"/>
    <w:rsid w:val="001562FA"/>
    <w:rsid w:val="0016331D"/>
    <w:rsid w:val="00163655"/>
    <w:rsid w:val="00163854"/>
    <w:rsid w:val="00165A9A"/>
    <w:rsid w:val="001679EE"/>
    <w:rsid w:val="00167B0D"/>
    <w:rsid w:val="00171033"/>
    <w:rsid w:val="001715BB"/>
    <w:rsid w:val="00172BBF"/>
    <w:rsid w:val="0017394A"/>
    <w:rsid w:val="0017488D"/>
    <w:rsid w:val="00175F68"/>
    <w:rsid w:val="00176589"/>
    <w:rsid w:val="00176C88"/>
    <w:rsid w:val="00180376"/>
    <w:rsid w:val="001822B0"/>
    <w:rsid w:val="0018230F"/>
    <w:rsid w:val="001844D6"/>
    <w:rsid w:val="0018459A"/>
    <w:rsid w:val="00185114"/>
    <w:rsid w:val="001852D8"/>
    <w:rsid w:val="001864AE"/>
    <w:rsid w:val="00186521"/>
    <w:rsid w:val="00187F37"/>
    <w:rsid w:val="0019010B"/>
    <w:rsid w:val="00190633"/>
    <w:rsid w:val="0019071D"/>
    <w:rsid w:val="00190B9A"/>
    <w:rsid w:val="0019134D"/>
    <w:rsid w:val="00191C98"/>
    <w:rsid w:val="0019285E"/>
    <w:rsid w:val="00192C78"/>
    <w:rsid w:val="00194E1F"/>
    <w:rsid w:val="0019519C"/>
    <w:rsid w:val="0019545E"/>
    <w:rsid w:val="00196469"/>
    <w:rsid w:val="00196E62"/>
    <w:rsid w:val="001A0033"/>
    <w:rsid w:val="001A141C"/>
    <w:rsid w:val="001A352E"/>
    <w:rsid w:val="001A434D"/>
    <w:rsid w:val="001A6F10"/>
    <w:rsid w:val="001B218F"/>
    <w:rsid w:val="001B21AE"/>
    <w:rsid w:val="001B5BBB"/>
    <w:rsid w:val="001C31CB"/>
    <w:rsid w:val="001C3B80"/>
    <w:rsid w:val="001C41C7"/>
    <w:rsid w:val="001C5E54"/>
    <w:rsid w:val="001C7184"/>
    <w:rsid w:val="001C730C"/>
    <w:rsid w:val="001C770D"/>
    <w:rsid w:val="001C7B1B"/>
    <w:rsid w:val="001D03C8"/>
    <w:rsid w:val="001D06D0"/>
    <w:rsid w:val="001D0990"/>
    <w:rsid w:val="001D1C72"/>
    <w:rsid w:val="001D1D5B"/>
    <w:rsid w:val="001D2824"/>
    <w:rsid w:val="001D3E8B"/>
    <w:rsid w:val="001D4AC9"/>
    <w:rsid w:val="001D4BC1"/>
    <w:rsid w:val="001D570A"/>
    <w:rsid w:val="001D688E"/>
    <w:rsid w:val="001E14FD"/>
    <w:rsid w:val="001E291D"/>
    <w:rsid w:val="001E461E"/>
    <w:rsid w:val="001E54CE"/>
    <w:rsid w:val="001E61BD"/>
    <w:rsid w:val="001E6BA6"/>
    <w:rsid w:val="001E6C14"/>
    <w:rsid w:val="001E70FE"/>
    <w:rsid w:val="001E77D6"/>
    <w:rsid w:val="001E794F"/>
    <w:rsid w:val="001F00E4"/>
    <w:rsid w:val="001F08F9"/>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3E9"/>
    <w:rsid w:val="00217789"/>
    <w:rsid w:val="00220D74"/>
    <w:rsid w:val="002213EA"/>
    <w:rsid w:val="00223351"/>
    <w:rsid w:val="002237A8"/>
    <w:rsid w:val="00223B5B"/>
    <w:rsid w:val="00224505"/>
    <w:rsid w:val="002265AA"/>
    <w:rsid w:val="00226925"/>
    <w:rsid w:val="00226E60"/>
    <w:rsid w:val="00227359"/>
    <w:rsid w:val="00231FC0"/>
    <w:rsid w:val="002366D2"/>
    <w:rsid w:val="00242CDB"/>
    <w:rsid w:val="0024331B"/>
    <w:rsid w:val="0024456C"/>
    <w:rsid w:val="0024625D"/>
    <w:rsid w:val="00246CD8"/>
    <w:rsid w:val="00247F2A"/>
    <w:rsid w:val="002509C7"/>
    <w:rsid w:val="00251975"/>
    <w:rsid w:val="00252788"/>
    <w:rsid w:val="002533A3"/>
    <w:rsid w:val="00253B8C"/>
    <w:rsid w:val="00254D9A"/>
    <w:rsid w:val="00255373"/>
    <w:rsid w:val="002553DF"/>
    <w:rsid w:val="0025557C"/>
    <w:rsid w:val="0025790B"/>
    <w:rsid w:val="00262082"/>
    <w:rsid w:val="00264630"/>
    <w:rsid w:val="002653AC"/>
    <w:rsid w:val="00265722"/>
    <w:rsid w:val="00266037"/>
    <w:rsid w:val="00266978"/>
    <w:rsid w:val="00266DAB"/>
    <w:rsid w:val="00272C40"/>
    <w:rsid w:val="00273F65"/>
    <w:rsid w:val="00274DDB"/>
    <w:rsid w:val="00275526"/>
    <w:rsid w:val="00275757"/>
    <w:rsid w:val="00276ACE"/>
    <w:rsid w:val="00281B9A"/>
    <w:rsid w:val="002826EB"/>
    <w:rsid w:val="00282B2B"/>
    <w:rsid w:val="002869B1"/>
    <w:rsid w:val="002877ED"/>
    <w:rsid w:val="00290893"/>
    <w:rsid w:val="0029197D"/>
    <w:rsid w:val="00293329"/>
    <w:rsid w:val="002A1894"/>
    <w:rsid w:val="002A2964"/>
    <w:rsid w:val="002A3DA0"/>
    <w:rsid w:val="002A484C"/>
    <w:rsid w:val="002A6688"/>
    <w:rsid w:val="002B0460"/>
    <w:rsid w:val="002B0A68"/>
    <w:rsid w:val="002B1C83"/>
    <w:rsid w:val="002B2349"/>
    <w:rsid w:val="002B389F"/>
    <w:rsid w:val="002B4AAF"/>
    <w:rsid w:val="002B5421"/>
    <w:rsid w:val="002B6616"/>
    <w:rsid w:val="002B67C3"/>
    <w:rsid w:val="002B75A8"/>
    <w:rsid w:val="002C0CF5"/>
    <w:rsid w:val="002C3DA6"/>
    <w:rsid w:val="002C3DD6"/>
    <w:rsid w:val="002C446D"/>
    <w:rsid w:val="002C6117"/>
    <w:rsid w:val="002C6DB5"/>
    <w:rsid w:val="002D1DEF"/>
    <w:rsid w:val="002D3AB7"/>
    <w:rsid w:val="002D3AEF"/>
    <w:rsid w:val="002D6AFD"/>
    <w:rsid w:val="002D7737"/>
    <w:rsid w:val="002E134B"/>
    <w:rsid w:val="002E25FC"/>
    <w:rsid w:val="002E393C"/>
    <w:rsid w:val="002E5F4C"/>
    <w:rsid w:val="002E6721"/>
    <w:rsid w:val="002E7C23"/>
    <w:rsid w:val="002F0CD5"/>
    <w:rsid w:val="002F11BA"/>
    <w:rsid w:val="002F29C4"/>
    <w:rsid w:val="002F389F"/>
    <w:rsid w:val="002F45BC"/>
    <w:rsid w:val="002F4C49"/>
    <w:rsid w:val="00301106"/>
    <w:rsid w:val="003029FF"/>
    <w:rsid w:val="0030325C"/>
    <w:rsid w:val="00304C4E"/>
    <w:rsid w:val="00304D9D"/>
    <w:rsid w:val="00306DA6"/>
    <w:rsid w:val="0031156D"/>
    <w:rsid w:val="003122D5"/>
    <w:rsid w:val="00313E17"/>
    <w:rsid w:val="00320153"/>
    <w:rsid w:val="003224C7"/>
    <w:rsid w:val="00327E26"/>
    <w:rsid w:val="00330DD8"/>
    <w:rsid w:val="00331380"/>
    <w:rsid w:val="00331423"/>
    <w:rsid w:val="00331AA1"/>
    <w:rsid w:val="00332367"/>
    <w:rsid w:val="0033357B"/>
    <w:rsid w:val="0033466C"/>
    <w:rsid w:val="003363E0"/>
    <w:rsid w:val="0033710A"/>
    <w:rsid w:val="00337172"/>
    <w:rsid w:val="00337AF2"/>
    <w:rsid w:val="00337EC3"/>
    <w:rsid w:val="003405D3"/>
    <w:rsid w:val="00341DFC"/>
    <w:rsid w:val="003444E9"/>
    <w:rsid w:val="00350B80"/>
    <w:rsid w:val="0035109F"/>
    <w:rsid w:val="0035299D"/>
    <w:rsid w:val="00356734"/>
    <w:rsid w:val="00356F2E"/>
    <w:rsid w:val="003601A7"/>
    <w:rsid w:val="00361109"/>
    <w:rsid w:val="00363191"/>
    <w:rsid w:val="00363504"/>
    <w:rsid w:val="0036433E"/>
    <w:rsid w:val="00370696"/>
    <w:rsid w:val="00371546"/>
    <w:rsid w:val="003727DA"/>
    <w:rsid w:val="00373305"/>
    <w:rsid w:val="003745A5"/>
    <w:rsid w:val="00375BC6"/>
    <w:rsid w:val="00380DB4"/>
    <w:rsid w:val="00381A67"/>
    <w:rsid w:val="003823A6"/>
    <w:rsid w:val="003838B9"/>
    <w:rsid w:val="00387E86"/>
    <w:rsid w:val="00391268"/>
    <w:rsid w:val="00391BBC"/>
    <w:rsid w:val="00392F32"/>
    <w:rsid w:val="0039407B"/>
    <w:rsid w:val="00396E72"/>
    <w:rsid w:val="003A430B"/>
    <w:rsid w:val="003B00EC"/>
    <w:rsid w:val="003B016B"/>
    <w:rsid w:val="003B06BE"/>
    <w:rsid w:val="003B1841"/>
    <w:rsid w:val="003B32A0"/>
    <w:rsid w:val="003B343A"/>
    <w:rsid w:val="003B600B"/>
    <w:rsid w:val="003B72A3"/>
    <w:rsid w:val="003C2C6C"/>
    <w:rsid w:val="003C2FD0"/>
    <w:rsid w:val="003C4A62"/>
    <w:rsid w:val="003C4CEB"/>
    <w:rsid w:val="003C51FE"/>
    <w:rsid w:val="003C64E4"/>
    <w:rsid w:val="003C7EAF"/>
    <w:rsid w:val="003D26D0"/>
    <w:rsid w:val="003D5ED1"/>
    <w:rsid w:val="003D63E6"/>
    <w:rsid w:val="003E1094"/>
    <w:rsid w:val="003E1B2D"/>
    <w:rsid w:val="003E2F07"/>
    <w:rsid w:val="003E31AA"/>
    <w:rsid w:val="003E3D00"/>
    <w:rsid w:val="003F1FD6"/>
    <w:rsid w:val="003F4B74"/>
    <w:rsid w:val="003F52BA"/>
    <w:rsid w:val="00400144"/>
    <w:rsid w:val="00400D54"/>
    <w:rsid w:val="0040151D"/>
    <w:rsid w:val="004043E5"/>
    <w:rsid w:val="00404A76"/>
    <w:rsid w:val="00404C4F"/>
    <w:rsid w:val="00406C36"/>
    <w:rsid w:val="00407912"/>
    <w:rsid w:val="00410860"/>
    <w:rsid w:val="00411594"/>
    <w:rsid w:val="004134C2"/>
    <w:rsid w:val="00413AD2"/>
    <w:rsid w:val="00416AC9"/>
    <w:rsid w:val="00416AF8"/>
    <w:rsid w:val="00416CB0"/>
    <w:rsid w:val="0042292D"/>
    <w:rsid w:val="00422B14"/>
    <w:rsid w:val="004239E7"/>
    <w:rsid w:val="00424562"/>
    <w:rsid w:val="0042456A"/>
    <w:rsid w:val="00424897"/>
    <w:rsid w:val="004259CB"/>
    <w:rsid w:val="00426CB5"/>
    <w:rsid w:val="0042700C"/>
    <w:rsid w:val="00430DF1"/>
    <w:rsid w:val="00434DA3"/>
    <w:rsid w:val="004365C7"/>
    <w:rsid w:val="004369A7"/>
    <w:rsid w:val="0043725F"/>
    <w:rsid w:val="00437AC7"/>
    <w:rsid w:val="00440E4C"/>
    <w:rsid w:val="00441309"/>
    <w:rsid w:val="00441A1F"/>
    <w:rsid w:val="00441C87"/>
    <w:rsid w:val="004421A0"/>
    <w:rsid w:val="0044275F"/>
    <w:rsid w:val="0044318F"/>
    <w:rsid w:val="00444B08"/>
    <w:rsid w:val="00444C05"/>
    <w:rsid w:val="00444E95"/>
    <w:rsid w:val="004451F2"/>
    <w:rsid w:val="00447A83"/>
    <w:rsid w:val="00450AE7"/>
    <w:rsid w:val="00452527"/>
    <w:rsid w:val="00453F94"/>
    <w:rsid w:val="0045405E"/>
    <w:rsid w:val="0045524D"/>
    <w:rsid w:val="00455720"/>
    <w:rsid w:val="00455EFB"/>
    <w:rsid w:val="00455FA5"/>
    <w:rsid w:val="00456516"/>
    <w:rsid w:val="00461E0D"/>
    <w:rsid w:val="00462328"/>
    <w:rsid w:val="00462D9E"/>
    <w:rsid w:val="00464878"/>
    <w:rsid w:val="00466864"/>
    <w:rsid w:val="00466F57"/>
    <w:rsid w:val="00467C9D"/>
    <w:rsid w:val="00470261"/>
    <w:rsid w:val="004711A9"/>
    <w:rsid w:val="00471ABA"/>
    <w:rsid w:val="00477510"/>
    <w:rsid w:val="00480786"/>
    <w:rsid w:val="00480985"/>
    <w:rsid w:val="00480CC1"/>
    <w:rsid w:val="00480FF7"/>
    <w:rsid w:val="004811BA"/>
    <w:rsid w:val="0048253E"/>
    <w:rsid w:val="00482F37"/>
    <w:rsid w:val="00483507"/>
    <w:rsid w:val="00485D45"/>
    <w:rsid w:val="00486A6C"/>
    <w:rsid w:val="00487444"/>
    <w:rsid w:val="00490E3D"/>
    <w:rsid w:val="004917FC"/>
    <w:rsid w:val="004922CC"/>
    <w:rsid w:val="004940D3"/>
    <w:rsid w:val="004960D3"/>
    <w:rsid w:val="004960F3"/>
    <w:rsid w:val="00497FEC"/>
    <w:rsid w:val="004A0C4A"/>
    <w:rsid w:val="004A0D93"/>
    <w:rsid w:val="004A12AC"/>
    <w:rsid w:val="004A2354"/>
    <w:rsid w:val="004A5AB0"/>
    <w:rsid w:val="004B0D40"/>
    <w:rsid w:val="004B1194"/>
    <w:rsid w:val="004B1599"/>
    <w:rsid w:val="004B3136"/>
    <w:rsid w:val="004B5526"/>
    <w:rsid w:val="004C036F"/>
    <w:rsid w:val="004C1BF8"/>
    <w:rsid w:val="004C2000"/>
    <w:rsid w:val="004C4C0A"/>
    <w:rsid w:val="004C4C12"/>
    <w:rsid w:val="004C4E6C"/>
    <w:rsid w:val="004C6134"/>
    <w:rsid w:val="004C75D9"/>
    <w:rsid w:val="004D0C41"/>
    <w:rsid w:val="004D1CFA"/>
    <w:rsid w:val="004D2141"/>
    <w:rsid w:val="004D373F"/>
    <w:rsid w:val="004D3932"/>
    <w:rsid w:val="004D5055"/>
    <w:rsid w:val="004D5AAF"/>
    <w:rsid w:val="004D5BE2"/>
    <w:rsid w:val="004D5E18"/>
    <w:rsid w:val="004D6163"/>
    <w:rsid w:val="004D6971"/>
    <w:rsid w:val="004D6C75"/>
    <w:rsid w:val="004D6C88"/>
    <w:rsid w:val="004E08E7"/>
    <w:rsid w:val="004E17EB"/>
    <w:rsid w:val="004E20E1"/>
    <w:rsid w:val="004E3BD3"/>
    <w:rsid w:val="004E605C"/>
    <w:rsid w:val="004E78A6"/>
    <w:rsid w:val="004F0C90"/>
    <w:rsid w:val="004F10F4"/>
    <w:rsid w:val="004F14E2"/>
    <w:rsid w:val="004F15A3"/>
    <w:rsid w:val="004F2F63"/>
    <w:rsid w:val="004F3355"/>
    <w:rsid w:val="004F45E5"/>
    <w:rsid w:val="004F483B"/>
    <w:rsid w:val="004F5319"/>
    <w:rsid w:val="004F58A4"/>
    <w:rsid w:val="00500B33"/>
    <w:rsid w:val="0050192C"/>
    <w:rsid w:val="00502068"/>
    <w:rsid w:val="005023E9"/>
    <w:rsid w:val="005030D1"/>
    <w:rsid w:val="00503239"/>
    <w:rsid w:val="005048A9"/>
    <w:rsid w:val="00504CD2"/>
    <w:rsid w:val="005058C6"/>
    <w:rsid w:val="00506FB3"/>
    <w:rsid w:val="005107A4"/>
    <w:rsid w:val="00510AB9"/>
    <w:rsid w:val="00512B61"/>
    <w:rsid w:val="00512E3B"/>
    <w:rsid w:val="00513143"/>
    <w:rsid w:val="005131E7"/>
    <w:rsid w:val="00517C1B"/>
    <w:rsid w:val="00521905"/>
    <w:rsid w:val="00521A8A"/>
    <w:rsid w:val="0052537A"/>
    <w:rsid w:val="005261C6"/>
    <w:rsid w:val="00526A8B"/>
    <w:rsid w:val="005306F5"/>
    <w:rsid w:val="00530EFC"/>
    <w:rsid w:val="0053145D"/>
    <w:rsid w:val="0053265E"/>
    <w:rsid w:val="00534837"/>
    <w:rsid w:val="00534ED6"/>
    <w:rsid w:val="005356DD"/>
    <w:rsid w:val="0054383E"/>
    <w:rsid w:val="00544067"/>
    <w:rsid w:val="00544689"/>
    <w:rsid w:val="005448AE"/>
    <w:rsid w:val="00544EBF"/>
    <w:rsid w:val="0054752F"/>
    <w:rsid w:val="005477FF"/>
    <w:rsid w:val="005514EA"/>
    <w:rsid w:val="00551E13"/>
    <w:rsid w:val="0055265D"/>
    <w:rsid w:val="00555FE5"/>
    <w:rsid w:val="00557F13"/>
    <w:rsid w:val="0056057A"/>
    <w:rsid w:val="005634A0"/>
    <w:rsid w:val="00564A34"/>
    <w:rsid w:val="00564BAA"/>
    <w:rsid w:val="005669ED"/>
    <w:rsid w:val="00566CE6"/>
    <w:rsid w:val="005715BF"/>
    <w:rsid w:val="00571676"/>
    <w:rsid w:val="0057386A"/>
    <w:rsid w:val="005745C2"/>
    <w:rsid w:val="00575575"/>
    <w:rsid w:val="005756EF"/>
    <w:rsid w:val="00580472"/>
    <w:rsid w:val="00583DB2"/>
    <w:rsid w:val="00583FFD"/>
    <w:rsid w:val="0058644F"/>
    <w:rsid w:val="00586B5E"/>
    <w:rsid w:val="0058793F"/>
    <w:rsid w:val="00587E86"/>
    <w:rsid w:val="005905CC"/>
    <w:rsid w:val="0059345F"/>
    <w:rsid w:val="005942B5"/>
    <w:rsid w:val="005964FC"/>
    <w:rsid w:val="00596640"/>
    <w:rsid w:val="005A0CDE"/>
    <w:rsid w:val="005A1A2E"/>
    <w:rsid w:val="005A2814"/>
    <w:rsid w:val="005A2F58"/>
    <w:rsid w:val="005A52CE"/>
    <w:rsid w:val="005A5694"/>
    <w:rsid w:val="005A60A3"/>
    <w:rsid w:val="005B14F6"/>
    <w:rsid w:val="005B1513"/>
    <w:rsid w:val="005B1F01"/>
    <w:rsid w:val="005B3D95"/>
    <w:rsid w:val="005B45B8"/>
    <w:rsid w:val="005B6567"/>
    <w:rsid w:val="005C1011"/>
    <w:rsid w:val="005C1A4B"/>
    <w:rsid w:val="005C2C22"/>
    <w:rsid w:val="005C3351"/>
    <w:rsid w:val="005C46BB"/>
    <w:rsid w:val="005C6C9D"/>
    <w:rsid w:val="005D0449"/>
    <w:rsid w:val="005D0EC6"/>
    <w:rsid w:val="005D339F"/>
    <w:rsid w:val="005D3EBA"/>
    <w:rsid w:val="005D3F7B"/>
    <w:rsid w:val="005D3F83"/>
    <w:rsid w:val="005D5021"/>
    <w:rsid w:val="005D6B6D"/>
    <w:rsid w:val="005E0304"/>
    <w:rsid w:val="005E0EF7"/>
    <w:rsid w:val="005E1F5B"/>
    <w:rsid w:val="005E2522"/>
    <w:rsid w:val="005E34A7"/>
    <w:rsid w:val="005E3ECC"/>
    <w:rsid w:val="005E6FB7"/>
    <w:rsid w:val="005F0064"/>
    <w:rsid w:val="005F2F17"/>
    <w:rsid w:val="005F30D3"/>
    <w:rsid w:val="005F379A"/>
    <w:rsid w:val="005F4287"/>
    <w:rsid w:val="005F469C"/>
    <w:rsid w:val="005F7FD5"/>
    <w:rsid w:val="0060066F"/>
    <w:rsid w:val="00600FE7"/>
    <w:rsid w:val="006016B4"/>
    <w:rsid w:val="006019D1"/>
    <w:rsid w:val="00604DB0"/>
    <w:rsid w:val="00605524"/>
    <w:rsid w:val="00605B31"/>
    <w:rsid w:val="00605C5D"/>
    <w:rsid w:val="006065FB"/>
    <w:rsid w:val="00607DDC"/>
    <w:rsid w:val="00611A33"/>
    <w:rsid w:val="00612869"/>
    <w:rsid w:val="006146BA"/>
    <w:rsid w:val="006172ED"/>
    <w:rsid w:val="00620063"/>
    <w:rsid w:val="00620D75"/>
    <w:rsid w:val="00621F2C"/>
    <w:rsid w:val="00624760"/>
    <w:rsid w:val="00624F2C"/>
    <w:rsid w:val="00626BC0"/>
    <w:rsid w:val="0063051C"/>
    <w:rsid w:val="006310FF"/>
    <w:rsid w:val="00631736"/>
    <w:rsid w:val="006328AE"/>
    <w:rsid w:val="0064020E"/>
    <w:rsid w:val="0064076F"/>
    <w:rsid w:val="0064087A"/>
    <w:rsid w:val="00642A61"/>
    <w:rsid w:val="006451BF"/>
    <w:rsid w:val="006453CC"/>
    <w:rsid w:val="0064589D"/>
    <w:rsid w:val="006468C6"/>
    <w:rsid w:val="00646E40"/>
    <w:rsid w:val="00647424"/>
    <w:rsid w:val="006476D3"/>
    <w:rsid w:val="00652FE7"/>
    <w:rsid w:val="0065431E"/>
    <w:rsid w:val="0065499A"/>
    <w:rsid w:val="00655124"/>
    <w:rsid w:val="00657909"/>
    <w:rsid w:val="00657E91"/>
    <w:rsid w:val="006612EA"/>
    <w:rsid w:val="006617D1"/>
    <w:rsid w:val="00661C8C"/>
    <w:rsid w:val="006623D6"/>
    <w:rsid w:val="0066478A"/>
    <w:rsid w:val="0066625E"/>
    <w:rsid w:val="006676FD"/>
    <w:rsid w:val="0067005D"/>
    <w:rsid w:val="00672FF4"/>
    <w:rsid w:val="00675B54"/>
    <w:rsid w:val="006809FB"/>
    <w:rsid w:val="00682623"/>
    <w:rsid w:val="00684401"/>
    <w:rsid w:val="00684ECC"/>
    <w:rsid w:val="00685349"/>
    <w:rsid w:val="006856C3"/>
    <w:rsid w:val="006863E0"/>
    <w:rsid w:val="006871FD"/>
    <w:rsid w:val="006877C1"/>
    <w:rsid w:val="006904D3"/>
    <w:rsid w:val="0069132D"/>
    <w:rsid w:val="00692042"/>
    <w:rsid w:val="006929EA"/>
    <w:rsid w:val="00692BC9"/>
    <w:rsid w:val="0069501F"/>
    <w:rsid w:val="006961A8"/>
    <w:rsid w:val="00697C87"/>
    <w:rsid w:val="00697D22"/>
    <w:rsid w:val="006A0942"/>
    <w:rsid w:val="006A1579"/>
    <w:rsid w:val="006A2FDF"/>
    <w:rsid w:val="006A4A8A"/>
    <w:rsid w:val="006A4B96"/>
    <w:rsid w:val="006A5309"/>
    <w:rsid w:val="006A5968"/>
    <w:rsid w:val="006A68DA"/>
    <w:rsid w:val="006A6C9E"/>
    <w:rsid w:val="006B3727"/>
    <w:rsid w:val="006B4BAA"/>
    <w:rsid w:val="006B5EEE"/>
    <w:rsid w:val="006B7BA8"/>
    <w:rsid w:val="006B7E76"/>
    <w:rsid w:val="006C19CF"/>
    <w:rsid w:val="006C3458"/>
    <w:rsid w:val="006C3815"/>
    <w:rsid w:val="006C4170"/>
    <w:rsid w:val="006C4A05"/>
    <w:rsid w:val="006C5ACD"/>
    <w:rsid w:val="006C7218"/>
    <w:rsid w:val="006C75F7"/>
    <w:rsid w:val="006C7E9B"/>
    <w:rsid w:val="006D0BDE"/>
    <w:rsid w:val="006D0F3C"/>
    <w:rsid w:val="006D160E"/>
    <w:rsid w:val="006D3D10"/>
    <w:rsid w:val="006D4093"/>
    <w:rsid w:val="006D4430"/>
    <w:rsid w:val="006D586E"/>
    <w:rsid w:val="006D6C20"/>
    <w:rsid w:val="006D7C06"/>
    <w:rsid w:val="006D7D05"/>
    <w:rsid w:val="006E011D"/>
    <w:rsid w:val="006E1A9B"/>
    <w:rsid w:val="006E2E41"/>
    <w:rsid w:val="006E535B"/>
    <w:rsid w:val="006E5D67"/>
    <w:rsid w:val="006E6ED0"/>
    <w:rsid w:val="006E7124"/>
    <w:rsid w:val="006E7FC7"/>
    <w:rsid w:val="006F2488"/>
    <w:rsid w:val="006F3519"/>
    <w:rsid w:val="006F356A"/>
    <w:rsid w:val="006F5923"/>
    <w:rsid w:val="006F6174"/>
    <w:rsid w:val="006F71E3"/>
    <w:rsid w:val="006F7A9E"/>
    <w:rsid w:val="006F7D4D"/>
    <w:rsid w:val="0070045F"/>
    <w:rsid w:val="007048B2"/>
    <w:rsid w:val="00706DCA"/>
    <w:rsid w:val="00707A7B"/>
    <w:rsid w:val="007123F2"/>
    <w:rsid w:val="0071321B"/>
    <w:rsid w:val="007143E3"/>
    <w:rsid w:val="0071446F"/>
    <w:rsid w:val="007165DC"/>
    <w:rsid w:val="007166B2"/>
    <w:rsid w:val="00717330"/>
    <w:rsid w:val="00720D3D"/>
    <w:rsid w:val="00720E8F"/>
    <w:rsid w:val="007210F9"/>
    <w:rsid w:val="00724416"/>
    <w:rsid w:val="00724BB3"/>
    <w:rsid w:val="0072773A"/>
    <w:rsid w:val="00727C00"/>
    <w:rsid w:val="007305B6"/>
    <w:rsid w:val="007319DA"/>
    <w:rsid w:val="00737C42"/>
    <w:rsid w:val="00741F90"/>
    <w:rsid w:val="007425D7"/>
    <w:rsid w:val="00742D00"/>
    <w:rsid w:val="00743AB2"/>
    <w:rsid w:val="00746AF7"/>
    <w:rsid w:val="00746FAD"/>
    <w:rsid w:val="0075016C"/>
    <w:rsid w:val="00752FA6"/>
    <w:rsid w:val="007530BD"/>
    <w:rsid w:val="00754168"/>
    <w:rsid w:val="00755570"/>
    <w:rsid w:val="00755F45"/>
    <w:rsid w:val="00757357"/>
    <w:rsid w:val="00760BF7"/>
    <w:rsid w:val="00762022"/>
    <w:rsid w:val="007630BD"/>
    <w:rsid w:val="0076459F"/>
    <w:rsid w:val="007648E8"/>
    <w:rsid w:val="00764E0B"/>
    <w:rsid w:val="00764FD2"/>
    <w:rsid w:val="00765862"/>
    <w:rsid w:val="0077274B"/>
    <w:rsid w:val="00775691"/>
    <w:rsid w:val="00775E75"/>
    <w:rsid w:val="00780770"/>
    <w:rsid w:val="00783025"/>
    <w:rsid w:val="00784BFC"/>
    <w:rsid w:val="0078739B"/>
    <w:rsid w:val="00787AC9"/>
    <w:rsid w:val="0079021D"/>
    <w:rsid w:val="00793D9D"/>
    <w:rsid w:val="00794CF9"/>
    <w:rsid w:val="00794DBB"/>
    <w:rsid w:val="0079594A"/>
    <w:rsid w:val="007979BF"/>
    <w:rsid w:val="007A104C"/>
    <w:rsid w:val="007A2250"/>
    <w:rsid w:val="007A2E91"/>
    <w:rsid w:val="007A3563"/>
    <w:rsid w:val="007A56C3"/>
    <w:rsid w:val="007A610A"/>
    <w:rsid w:val="007B095E"/>
    <w:rsid w:val="007B256F"/>
    <w:rsid w:val="007B2905"/>
    <w:rsid w:val="007B335E"/>
    <w:rsid w:val="007B3CAC"/>
    <w:rsid w:val="007B435B"/>
    <w:rsid w:val="007B7E70"/>
    <w:rsid w:val="007C0495"/>
    <w:rsid w:val="007C67CB"/>
    <w:rsid w:val="007D115D"/>
    <w:rsid w:val="007D1185"/>
    <w:rsid w:val="007D37FB"/>
    <w:rsid w:val="007D3AB0"/>
    <w:rsid w:val="007D3C57"/>
    <w:rsid w:val="007D6324"/>
    <w:rsid w:val="007D68C9"/>
    <w:rsid w:val="007D6F94"/>
    <w:rsid w:val="007D78E0"/>
    <w:rsid w:val="007D7B84"/>
    <w:rsid w:val="007E1F76"/>
    <w:rsid w:val="007E3453"/>
    <w:rsid w:val="007E3857"/>
    <w:rsid w:val="007E4180"/>
    <w:rsid w:val="007E4A3F"/>
    <w:rsid w:val="007E6E94"/>
    <w:rsid w:val="007E775F"/>
    <w:rsid w:val="007F19E2"/>
    <w:rsid w:val="007F2369"/>
    <w:rsid w:val="007F2A00"/>
    <w:rsid w:val="007F2DEA"/>
    <w:rsid w:val="007F353C"/>
    <w:rsid w:val="007F42B0"/>
    <w:rsid w:val="007F557D"/>
    <w:rsid w:val="007F5D9C"/>
    <w:rsid w:val="007F66E1"/>
    <w:rsid w:val="0080018F"/>
    <w:rsid w:val="008002FC"/>
    <w:rsid w:val="008016A7"/>
    <w:rsid w:val="00801ED9"/>
    <w:rsid w:val="00802399"/>
    <w:rsid w:val="008027C8"/>
    <w:rsid w:val="00803922"/>
    <w:rsid w:val="00804D31"/>
    <w:rsid w:val="0080586D"/>
    <w:rsid w:val="00805A3D"/>
    <w:rsid w:val="00806DDF"/>
    <w:rsid w:val="00807174"/>
    <w:rsid w:val="00807C0F"/>
    <w:rsid w:val="00807F91"/>
    <w:rsid w:val="0081012C"/>
    <w:rsid w:val="0081039A"/>
    <w:rsid w:val="008103FD"/>
    <w:rsid w:val="00810570"/>
    <w:rsid w:val="00810605"/>
    <w:rsid w:val="00810BBC"/>
    <w:rsid w:val="0081517F"/>
    <w:rsid w:val="0081549F"/>
    <w:rsid w:val="008176FD"/>
    <w:rsid w:val="00820221"/>
    <w:rsid w:val="00820966"/>
    <w:rsid w:val="008216F7"/>
    <w:rsid w:val="00822153"/>
    <w:rsid w:val="00822FBD"/>
    <w:rsid w:val="00823AB7"/>
    <w:rsid w:val="00827113"/>
    <w:rsid w:val="00827169"/>
    <w:rsid w:val="00827DAF"/>
    <w:rsid w:val="008306A2"/>
    <w:rsid w:val="00830FAF"/>
    <w:rsid w:val="00831F70"/>
    <w:rsid w:val="00833134"/>
    <w:rsid w:val="00833713"/>
    <w:rsid w:val="00833D9B"/>
    <w:rsid w:val="008340FE"/>
    <w:rsid w:val="00835A40"/>
    <w:rsid w:val="00835AA0"/>
    <w:rsid w:val="00835FBF"/>
    <w:rsid w:val="00836DA8"/>
    <w:rsid w:val="00836ECE"/>
    <w:rsid w:val="00840600"/>
    <w:rsid w:val="008414B9"/>
    <w:rsid w:val="0084380A"/>
    <w:rsid w:val="00844E66"/>
    <w:rsid w:val="00847CD5"/>
    <w:rsid w:val="00850B2A"/>
    <w:rsid w:val="00850F7C"/>
    <w:rsid w:val="0085322F"/>
    <w:rsid w:val="0085408C"/>
    <w:rsid w:val="0085557B"/>
    <w:rsid w:val="00856A09"/>
    <w:rsid w:val="00856B4C"/>
    <w:rsid w:val="00856BBC"/>
    <w:rsid w:val="00857149"/>
    <w:rsid w:val="00860A39"/>
    <w:rsid w:val="00861B3E"/>
    <w:rsid w:val="00862A70"/>
    <w:rsid w:val="008655A1"/>
    <w:rsid w:val="008666DD"/>
    <w:rsid w:val="00866CCD"/>
    <w:rsid w:val="00870018"/>
    <w:rsid w:val="00871411"/>
    <w:rsid w:val="00871A7B"/>
    <w:rsid w:val="00872192"/>
    <w:rsid w:val="008726D9"/>
    <w:rsid w:val="008735AB"/>
    <w:rsid w:val="008740D8"/>
    <w:rsid w:val="0087506B"/>
    <w:rsid w:val="0087693A"/>
    <w:rsid w:val="00876C63"/>
    <w:rsid w:val="00876D94"/>
    <w:rsid w:val="0089069E"/>
    <w:rsid w:val="0089074A"/>
    <w:rsid w:val="008912D3"/>
    <w:rsid w:val="008914CB"/>
    <w:rsid w:val="008937B1"/>
    <w:rsid w:val="00894A43"/>
    <w:rsid w:val="00895477"/>
    <w:rsid w:val="00895F6F"/>
    <w:rsid w:val="008A15AE"/>
    <w:rsid w:val="008A1DBB"/>
    <w:rsid w:val="008A2A18"/>
    <w:rsid w:val="008A2EBF"/>
    <w:rsid w:val="008A4832"/>
    <w:rsid w:val="008A6A39"/>
    <w:rsid w:val="008B185F"/>
    <w:rsid w:val="008B3113"/>
    <w:rsid w:val="008B45F2"/>
    <w:rsid w:val="008B4E65"/>
    <w:rsid w:val="008B50B7"/>
    <w:rsid w:val="008B5744"/>
    <w:rsid w:val="008B7818"/>
    <w:rsid w:val="008B7C24"/>
    <w:rsid w:val="008C04C6"/>
    <w:rsid w:val="008C1D87"/>
    <w:rsid w:val="008C2047"/>
    <w:rsid w:val="008C2490"/>
    <w:rsid w:val="008C2FED"/>
    <w:rsid w:val="008C4AC0"/>
    <w:rsid w:val="008C50CB"/>
    <w:rsid w:val="008C5304"/>
    <w:rsid w:val="008C6459"/>
    <w:rsid w:val="008C7CC2"/>
    <w:rsid w:val="008D01F8"/>
    <w:rsid w:val="008D0325"/>
    <w:rsid w:val="008D0AD4"/>
    <w:rsid w:val="008D2BA4"/>
    <w:rsid w:val="008D45A6"/>
    <w:rsid w:val="008D4CB3"/>
    <w:rsid w:val="008D5CDB"/>
    <w:rsid w:val="008D643C"/>
    <w:rsid w:val="008D6554"/>
    <w:rsid w:val="008D7E71"/>
    <w:rsid w:val="008E0B20"/>
    <w:rsid w:val="008E584F"/>
    <w:rsid w:val="008E5E8B"/>
    <w:rsid w:val="008E6072"/>
    <w:rsid w:val="008E6640"/>
    <w:rsid w:val="008F2669"/>
    <w:rsid w:val="008F2710"/>
    <w:rsid w:val="008F432E"/>
    <w:rsid w:val="008F50BB"/>
    <w:rsid w:val="008F784B"/>
    <w:rsid w:val="008F7A01"/>
    <w:rsid w:val="00900322"/>
    <w:rsid w:val="00900AF7"/>
    <w:rsid w:val="00901909"/>
    <w:rsid w:val="00901ACE"/>
    <w:rsid w:val="00901B37"/>
    <w:rsid w:val="009043D1"/>
    <w:rsid w:val="0090500B"/>
    <w:rsid w:val="0090746E"/>
    <w:rsid w:val="0090771A"/>
    <w:rsid w:val="00907D44"/>
    <w:rsid w:val="009106C1"/>
    <w:rsid w:val="00910BA4"/>
    <w:rsid w:val="00912C9D"/>
    <w:rsid w:val="00913112"/>
    <w:rsid w:val="00915499"/>
    <w:rsid w:val="00916595"/>
    <w:rsid w:val="009169DE"/>
    <w:rsid w:val="00922E94"/>
    <w:rsid w:val="00924CB1"/>
    <w:rsid w:val="00925905"/>
    <w:rsid w:val="00925FC9"/>
    <w:rsid w:val="00926039"/>
    <w:rsid w:val="009275C5"/>
    <w:rsid w:val="00927772"/>
    <w:rsid w:val="00931E88"/>
    <w:rsid w:val="00933939"/>
    <w:rsid w:val="00934162"/>
    <w:rsid w:val="009342D4"/>
    <w:rsid w:val="00936818"/>
    <w:rsid w:val="009369EF"/>
    <w:rsid w:val="00936A52"/>
    <w:rsid w:val="00940B15"/>
    <w:rsid w:val="00940DBA"/>
    <w:rsid w:val="009416D1"/>
    <w:rsid w:val="0094391C"/>
    <w:rsid w:val="00945661"/>
    <w:rsid w:val="00946996"/>
    <w:rsid w:val="0095322B"/>
    <w:rsid w:val="0095360A"/>
    <w:rsid w:val="009559EB"/>
    <w:rsid w:val="009604D5"/>
    <w:rsid w:val="009626CA"/>
    <w:rsid w:val="00962D06"/>
    <w:rsid w:val="00963402"/>
    <w:rsid w:val="00964835"/>
    <w:rsid w:val="00966868"/>
    <w:rsid w:val="00966917"/>
    <w:rsid w:val="00967387"/>
    <w:rsid w:val="009709AB"/>
    <w:rsid w:val="00971FD5"/>
    <w:rsid w:val="0097223A"/>
    <w:rsid w:val="009729E3"/>
    <w:rsid w:val="00974167"/>
    <w:rsid w:val="00974BED"/>
    <w:rsid w:val="00975E0A"/>
    <w:rsid w:val="00976143"/>
    <w:rsid w:val="009775A7"/>
    <w:rsid w:val="00980073"/>
    <w:rsid w:val="00980784"/>
    <w:rsid w:val="0098167D"/>
    <w:rsid w:val="00982041"/>
    <w:rsid w:val="00983099"/>
    <w:rsid w:val="009832E7"/>
    <w:rsid w:val="009836DB"/>
    <w:rsid w:val="009839EA"/>
    <w:rsid w:val="00984A57"/>
    <w:rsid w:val="00984EF3"/>
    <w:rsid w:val="00986062"/>
    <w:rsid w:val="009911A1"/>
    <w:rsid w:val="0099175F"/>
    <w:rsid w:val="00992322"/>
    <w:rsid w:val="00992A3A"/>
    <w:rsid w:val="00993261"/>
    <w:rsid w:val="00993578"/>
    <w:rsid w:val="00997E03"/>
    <w:rsid w:val="009A0770"/>
    <w:rsid w:val="009A0BA3"/>
    <w:rsid w:val="009A1A8B"/>
    <w:rsid w:val="009A2A56"/>
    <w:rsid w:val="009A418D"/>
    <w:rsid w:val="009A520C"/>
    <w:rsid w:val="009A75FE"/>
    <w:rsid w:val="009B137E"/>
    <w:rsid w:val="009B2144"/>
    <w:rsid w:val="009B2D08"/>
    <w:rsid w:val="009B6315"/>
    <w:rsid w:val="009B6C73"/>
    <w:rsid w:val="009C4645"/>
    <w:rsid w:val="009C59F9"/>
    <w:rsid w:val="009C63B1"/>
    <w:rsid w:val="009C6C6F"/>
    <w:rsid w:val="009C6DCD"/>
    <w:rsid w:val="009D0173"/>
    <w:rsid w:val="009D0895"/>
    <w:rsid w:val="009D3283"/>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440F"/>
    <w:rsid w:val="009E5FD0"/>
    <w:rsid w:val="009E60EA"/>
    <w:rsid w:val="009E6590"/>
    <w:rsid w:val="009E7A07"/>
    <w:rsid w:val="009E7F8B"/>
    <w:rsid w:val="009F01CF"/>
    <w:rsid w:val="009F06C5"/>
    <w:rsid w:val="009F0C46"/>
    <w:rsid w:val="009F2505"/>
    <w:rsid w:val="009F599E"/>
    <w:rsid w:val="009F5B9C"/>
    <w:rsid w:val="009F7D3B"/>
    <w:rsid w:val="00A00126"/>
    <w:rsid w:val="00A003C1"/>
    <w:rsid w:val="00A00655"/>
    <w:rsid w:val="00A00C58"/>
    <w:rsid w:val="00A010F0"/>
    <w:rsid w:val="00A02290"/>
    <w:rsid w:val="00A04535"/>
    <w:rsid w:val="00A070EE"/>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F82"/>
    <w:rsid w:val="00A350E9"/>
    <w:rsid w:val="00A3538E"/>
    <w:rsid w:val="00A3720D"/>
    <w:rsid w:val="00A37505"/>
    <w:rsid w:val="00A40594"/>
    <w:rsid w:val="00A41A0B"/>
    <w:rsid w:val="00A44C46"/>
    <w:rsid w:val="00A455E5"/>
    <w:rsid w:val="00A455F7"/>
    <w:rsid w:val="00A456F5"/>
    <w:rsid w:val="00A45853"/>
    <w:rsid w:val="00A46E22"/>
    <w:rsid w:val="00A47E4F"/>
    <w:rsid w:val="00A513D2"/>
    <w:rsid w:val="00A51406"/>
    <w:rsid w:val="00A530A2"/>
    <w:rsid w:val="00A53E78"/>
    <w:rsid w:val="00A54A51"/>
    <w:rsid w:val="00A56887"/>
    <w:rsid w:val="00A60B29"/>
    <w:rsid w:val="00A60B80"/>
    <w:rsid w:val="00A61197"/>
    <w:rsid w:val="00A63267"/>
    <w:rsid w:val="00A635F0"/>
    <w:rsid w:val="00A64046"/>
    <w:rsid w:val="00A64535"/>
    <w:rsid w:val="00A71411"/>
    <w:rsid w:val="00A71C30"/>
    <w:rsid w:val="00A71EF1"/>
    <w:rsid w:val="00A72235"/>
    <w:rsid w:val="00A72A25"/>
    <w:rsid w:val="00A740D7"/>
    <w:rsid w:val="00A75555"/>
    <w:rsid w:val="00A759CD"/>
    <w:rsid w:val="00A7660D"/>
    <w:rsid w:val="00A776D2"/>
    <w:rsid w:val="00A836BF"/>
    <w:rsid w:val="00A83C4D"/>
    <w:rsid w:val="00A83D4C"/>
    <w:rsid w:val="00A84317"/>
    <w:rsid w:val="00A85490"/>
    <w:rsid w:val="00A85845"/>
    <w:rsid w:val="00A86707"/>
    <w:rsid w:val="00A86794"/>
    <w:rsid w:val="00A873D2"/>
    <w:rsid w:val="00A914E9"/>
    <w:rsid w:val="00A9216C"/>
    <w:rsid w:val="00A93438"/>
    <w:rsid w:val="00A9361C"/>
    <w:rsid w:val="00A94EEF"/>
    <w:rsid w:val="00A9587C"/>
    <w:rsid w:val="00A9619D"/>
    <w:rsid w:val="00A967E5"/>
    <w:rsid w:val="00A9697A"/>
    <w:rsid w:val="00A96CB3"/>
    <w:rsid w:val="00A97AA9"/>
    <w:rsid w:val="00AA054E"/>
    <w:rsid w:val="00AA17E3"/>
    <w:rsid w:val="00AA1C72"/>
    <w:rsid w:val="00AA2A5E"/>
    <w:rsid w:val="00AA2BF1"/>
    <w:rsid w:val="00AA3558"/>
    <w:rsid w:val="00AA3C76"/>
    <w:rsid w:val="00AA3E6B"/>
    <w:rsid w:val="00AA3FDF"/>
    <w:rsid w:val="00AA5D0C"/>
    <w:rsid w:val="00AA6B2C"/>
    <w:rsid w:val="00AB15E6"/>
    <w:rsid w:val="00AB1EE0"/>
    <w:rsid w:val="00AB2014"/>
    <w:rsid w:val="00AB234B"/>
    <w:rsid w:val="00AB23FC"/>
    <w:rsid w:val="00AB2493"/>
    <w:rsid w:val="00AB2603"/>
    <w:rsid w:val="00AB34BD"/>
    <w:rsid w:val="00AB3C03"/>
    <w:rsid w:val="00AB50AF"/>
    <w:rsid w:val="00AB52EA"/>
    <w:rsid w:val="00AB5EF6"/>
    <w:rsid w:val="00AB7BAC"/>
    <w:rsid w:val="00AC0EF8"/>
    <w:rsid w:val="00AC263A"/>
    <w:rsid w:val="00AC2A27"/>
    <w:rsid w:val="00AC2E64"/>
    <w:rsid w:val="00AC3AFC"/>
    <w:rsid w:val="00AC3DBE"/>
    <w:rsid w:val="00AC4959"/>
    <w:rsid w:val="00AC67EB"/>
    <w:rsid w:val="00AC7995"/>
    <w:rsid w:val="00AD039B"/>
    <w:rsid w:val="00AD0565"/>
    <w:rsid w:val="00AD0A0A"/>
    <w:rsid w:val="00AD2FA1"/>
    <w:rsid w:val="00AD32D9"/>
    <w:rsid w:val="00AD3352"/>
    <w:rsid w:val="00AD47E3"/>
    <w:rsid w:val="00AD4A59"/>
    <w:rsid w:val="00AD5746"/>
    <w:rsid w:val="00AD60A8"/>
    <w:rsid w:val="00AD64B8"/>
    <w:rsid w:val="00AE089F"/>
    <w:rsid w:val="00AE36AF"/>
    <w:rsid w:val="00AE3F46"/>
    <w:rsid w:val="00AE4061"/>
    <w:rsid w:val="00AE5733"/>
    <w:rsid w:val="00AE68F6"/>
    <w:rsid w:val="00AF17F6"/>
    <w:rsid w:val="00AF2D24"/>
    <w:rsid w:val="00AF413F"/>
    <w:rsid w:val="00AF420A"/>
    <w:rsid w:val="00AF4465"/>
    <w:rsid w:val="00AF4901"/>
    <w:rsid w:val="00AF670F"/>
    <w:rsid w:val="00AF6E5B"/>
    <w:rsid w:val="00AF75AC"/>
    <w:rsid w:val="00AF766A"/>
    <w:rsid w:val="00B014BB"/>
    <w:rsid w:val="00B02826"/>
    <w:rsid w:val="00B045EC"/>
    <w:rsid w:val="00B058FF"/>
    <w:rsid w:val="00B07483"/>
    <w:rsid w:val="00B074D0"/>
    <w:rsid w:val="00B10CFD"/>
    <w:rsid w:val="00B158C3"/>
    <w:rsid w:val="00B22517"/>
    <w:rsid w:val="00B2293D"/>
    <w:rsid w:val="00B2353C"/>
    <w:rsid w:val="00B272BE"/>
    <w:rsid w:val="00B27737"/>
    <w:rsid w:val="00B27A14"/>
    <w:rsid w:val="00B3028D"/>
    <w:rsid w:val="00B32C84"/>
    <w:rsid w:val="00B33E5E"/>
    <w:rsid w:val="00B34D85"/>
    <w:rsid w:val="00B3567F"/>
    <w:rsid w:val="00B3710C"/>
    <w:rsid w:val="00B37FE3"/>
    <w:rsid w:val="00B412ED"/>
    <w:rsid w:val="00B413CC"/>
    <w:rsid w:val="00B41521"/>
    <w:rsid w:val="00B415FE"/>
    <w:rsid w:val="00B42205"/>
    <w:rsid w:val="00B43502"/>
    <w:rsid w:val="00B445B9"/>
    <w:rsid w:val="00B44E97"/>
    <w:rsid w:val="00B46A08"/>
    <w:rsid w:val="00B46C4E"/>
    <w:rsid w:val="00B47DAA"/>
    <w:rsid w:val="00B504BE"/>
    <w:rsid w:val="00B506B0"/>
    <w:rsid w:val="00B52A04"/>
    <w:rsid w:val="00B53238"/>
    <w:rsid w:val="00B5343C"/>
    <w:rsid w:val="00B53EA7"/>
    <w:rsid w:val="00B55E5A"/>
    <w:rsid w:val="00B561E7"/>
    <w:rsid w:val="00B568BF"/>
    <w:rsid w:val="00B573CF"/>
    <w:rsid w:val="00B60383"/>
    <w:rsid w:val="00B60FC0"/>
    <w:rsid w:val="00B664E9"/>
    <w:rsid w:val="00B67A2A"/>
    <w:rsid w:val="00B70610"/>
    <w:rsid w:val="00B72DDC"/>
    <w:rsid w:val="00B731D0"/>
    <w:rsid w:val="00B7347F"/>
    <w:rsid w:val="00B74AB7"/>
    <w:rsid w:val="00B75565"/>
    <w:rsid w:val="00B76017"/>
    <w:rsid w:val="00B7689E"/>
    <w:rsid w:val="00B81053"/>
    <w:rsid w:val="00B82164"/>
    <w:rsid w:val="00B870C8"/>
    <w:rsid w:val="00B87B00"/>
    <w:rsid w:val="00B90513"/>
    <w:rsid w:val="00B90A5B"/>
    <w:rsid w:val="00B90C2A"/>
    <w:rsid w:val="00B916FF"/>
    <w:rsid w:val="00B9217D"/>
    <w:rsid w:val="00B9228B"/>
    <w:rsid w:val="00B92345"/>
    <w:rsid w:val="00B92C4F"/>
    <w:rsid w:val="00B95196"/>
    <w:rsid w:val="00B9530E"/>
    <w:rsid w:val="00B95B12"/>
    <w:rsid w:val="00B977B3"/>
    <w:rsid w:val="00BA02A3"/>
    <w:rsid w:val="00BA14BA"/>
    <w:rsid w:val="00BA17A9"/>
    <w:rsid w:val="00BA30F2"/>
    <w:rsid w:val="00BA3736"/>
    <w:rsid w:val="00BA4EAC"/>
    <w:rsid w:val="00BA617C"/>
    <w:rsid w:val="00BA68B2"/>
    <w:rsid w:val="00BA7C51"/>
    <w:rsid w:val="00BA7E1E"/>
    <w:rsid w:val="00BA7E21"/>
    <w:rsid w:val="00BB054E"/>
    <w:rsid w:val="00BB18C4"/>
    <w:rsid w:val="00BB4BBA"/>
    <w:rsid w:val="00BB505E"/>
    <w:rsid w:val="00BB681E"/>
    <w:rsid w:val="00BB7324"/>
    <w:rsid w:val="00BB78A6"/>
    <w:rsid w:val="00BC0543"/>
    <w:rsid w:val="00BC11E8"/>
    <w:rsid w:val="00BC15FB"/>
    <w:rsid w:val="00BC16FF"/>
    <w:rsid w:val="00BC1721"/>
    <w:rsid w:val="00BC22CF"/>
    <w:rsid w:val="00BC2CFE"/>
    <w:rsid w:val="00BC3D6F"/>
    <w:rsid w:val="00BC4C6A"/>
    <w:rsid w:val="00BC57F5"/>
    <w:rsid w:val="00BC782B"/>
    <w:rsid w:val="00BD1D4D"/>
    <w:rsid w:val="00BD498B"/>
    <w:rsid w:val="00BD604B"/>
    <w:rsid w:val="00BD65CD"/>
    <w:rsid w:val="00BD6A7C"/>
    <w:rsid w:val="00BD768A"/>
    <w:rsid w:val="00BD7AFF"/>
    <w:rsid w:val="00BD7CA7"/>
    <w:rsid w:val="00BE13B9"/>
    <w:rsid w:val="00BE4FCF"/>
    <w:rsid w:val="00BE5827"/>
    <w:rsid w:val="00BE5DA9"/>
    <w:rsid w:val="00BE69FF"/>
    <w:rsid w:val="00BF0872"/>
    <w:rsid w:val="00BF1745"/>
    <w:rsid w:val="00BF19FA"/>
    <w:rsid w:val="00BF4C3E"/>
    <w:rsid w:val="00BF757A"/>
    <w:rsid w:val="00C017FF"/>
    <w:rsid w:val="00C01FBD"/>
    <w:rsid w:val="00C02090"/>
    <w:rsid w:val="00C022E9"/>
    <w:rsid w:val="00C03970"/>
    <w:rsid w:val="00C04AA0"/>
    <w:rsid w:val="00C060B9"/>
    <w:rsid w:val="00C06806"/>
    <w:rsid w:val="00C0746C"/>
    <w:rsid w:val="00C07ED9"/>
    <w:rsid w:val="00C11341"/>
    <w:rsid w:val="00C15A5E"/>
    <w:rsid w:val="00C17352"/>
    <w:rsid w:val="00C17507"/>
    <w:rsid w:val="00C17BFA"/>
    <w:rsid w:val="00C22767"/>
    <w:rsid w:val="00C22C2F"/>
    <w:rsid w:val="00C25992"/>
    <w:rsid w:val="00C267E3"/>
    <w:rsid w:val="00C27B64"/>
    <w:rsid w:val="00C30167"/>
    <w:rsid w:val="00C308DC"/>
    <w:rsid w:val="00C31AC5"/>
    <w:rsid w:val="00C31CE3"/>
    <w:rsid w:val="00C3206E"/>
    <w:rsid w:val="00C365F1"/>
    <w:rsid w:val="00C36EA2"/>
    <w:rsid w:val="00C37F27"/>
    <w:rsid w:val="00C40CC6"/>
    <w:rsid w:val="00C41E59"/>
    <w:rsid w:val="00C43DC0"/>
    <w:rsid w:val="00C449B4"/>
    <w:rsid w:val="00C4510D"/>
    <w:rsid w:val="00C471D2"/>
    <w:rsid w:val="00C4754D"/>
    <w:rsid w:val="00C50A1C"/>
    <w:rsid w:val="00C514CD"/>
    <w:rsid w:val="00C5311E"/>
    <w:rsid w:val="00C5343D"/>
    <w:rsid w:val="00C54A52"/>
    <w:rsid w:val="00C5641F"/>
    <w:rsid w:val="00C60A5E"/>
    <w:rsid w:val="00C61028"/>
    <w:rsid w:val="00C61954"/>
    <w:rsid w:val="00C62B36"/>
    <w:rsid w:val="00C63219"/>
    <w:rsid w:val="00C632D8"/>
    <w:rsid w:val="00C64182"/>
    <w:rsid w:val="00C66EA0"/>
    <w:rsid w:val="00C70604"/>
    <w:rsid w:val="00C7392F"/>
    <w:rsid w:val="00C74920"/>
    <w:rsid w:val="00C7610F"/>
    <w:rsid w:val="00C773F9"/>
    <w:rsid w:val="00C775A1"/>
    <w:rsid w:val="00C77B0A"/>
    <w:rsid w:val="00C8091E"/>
    <w:rsid w:val="00C80EE0"/>
    <w:rsid w:val="00C8162B"/>
    <w:rsid w:val="00C816BA"/>
    <w:rsid w:val="00C81CA2"/>
    <w:rsid w:val="00C8291D"/>
    <w:rsid w:val="00C833B1"/>
    <w:rsid w:val="00C83C57"/>
    <w:rsid w:val="00C84315"/>
    <w:rsid w:val="00C84731"/>
    <w:rsid w:val="00C913EF"/>
    <w:rsid w:val="00C91C9D"/>
    <w:rsid w:val="00C939B9"/>
    <w:rsid w:val="00C93A2E"/>
    <w:rsid w:val="00C95F0B"/>
    <w:rsid w:val="00C96435"/>
    <w:rsid w:val="00C96BF3"/>
    <w:rsid w:val="00C97AFD"/>
    <w:rsid w:val="00CA17E1"/>
    <w:rsid w:val="00CA1E0F"/>
    <w:rsid w:val="00CA2484"/>
    <w:rsid w:val="00CA2910"/>
    <w:rsid w:val="00CA296D"/>
    <w:rsid w:val="00CA32BF"/>
    <w:rsid w:val="00CA32DC"/>
    <w:rsid w:val="00CA5D88"/>
    <w:rsid w:val="00CA5EA6"/>
    <w:rsid w:val="00CA6433"/>
    <w:rsid w:val="00CA647F"/>
    <w:rsid w:val="00CA69D7"/>
    <w:rsid w:val="00CA70D9"/>
    <w:rsid w:val="00CA79F7"/>
    <w:rsid w:val="00CB00DA"/>
    <w:rsid w:val="00CB5291"/>
    <w:rsid w:val="00CB644D"/>
    <w:rsid w:val="00CB7517"/>
    <w:rsid w:val="00CC016D"/>
    <w:rsid w:val="00CC01F2"/>
    <w:rsid w:val="00CC07FA"/>
    <w:rsid w:val="00CC0B97"/>
    <w:rsid w:val="00CC174B"/>
    <w:rsid w:val="00CC2B30"/>
    <w:rsid w:val="00CC3532"/>
    <w:rsid w:val="00CC5AC0"/>
    <w:rsid w:val="00CC6554"/>
    <w:rsid w:val="00CD00BC"/>
    <w:rsid w:val="00CD1954"/>
    <w:rsid w:val="00CD1F12"/>
    <w:rsid w:val="00CD34FF"/>
    <w:rsid w:val="00CD36CA"/>
    <w:rsid w:val="00CD37B5"/>
    <w:rsid w:val="00CD3B65"/>
    <w:rsid w:val="00CD3CB1"/>
    <w:rsid w:val="00CD43FA"/>
    <w:rsid w:val="00CD608D"/>
    <w:rsid w:val="00CD71BB"/>
    <w:rsid w:val="00CD7616"/>
    <w:rsid w:val="00CD795A"/>
    <w:rsid w:val="00CE11DD"/>
    <w:rsid w:val="00CE30E7"/>
    <w:rsid w:val="00CE3283"/>
    <w:rsid w:val="00CE35FD"/>
    <w:rsid w:val="00CE4D95"/>
    <w:rsid w:val="00CE629D"/>
    <w:rsid w:val="00CF07E6"/>
    <w:rsid w:val="00CF226E"/>
    <w:rsid w:val="00CF2562"/>
    <w:rsid w:val="00CF33B6"/>
    <w:rsid w:val="00CF406F"/>
    <w:rsid w:val="00CF5521"/>
    <w:rsid w:val="00CF7D29"/>
    <w:rsid w:val="00D01FB8"/>
    <w:rsid w:val="00D021C2"/>
    <w:rsid w:val="00D02A81"/>
    <w:rsid w:val="00D04C65"/>
    <w:rsid w:val="00D04C90"/>
    <w:rsid w:val="00D062BE"/>
    <w:rsid w:val="00D06457"/>
    <w:rsid w:val="00D06776"/>
    <w:rsid w:val="00D068BB"/>
    <w:rsid w:val="00D0769E"/>
    <w:rsid w:val="00D07E73"/>
    <w:rsid w:val="00D115E6"/>
    <w:rsid w:val="00D13FEF"/>
    <w:rsid w:val="00D151E7"/>
    <w:rsid w:val="00D1730F"/>
    <w:rsid w:val="00D17787"/>
    <w:rsid w:val="00D17B1C"/>
    <w:rsid w:val="00D17E84"/>
    <w:rsid w:val="00D20593"/>
    <w:rsid w:val="00D22406"/>
    <w:rsid w:val="00D2384D"/>
    <w:rsid w:val="00D25869"/>
    <w:rsid w:val="00D25AC0"/>
    <w:rsid w:val="00D25C0A"/>
    <w:rsid w:val="00D25D86"/>
    <w:rsid w:val="00D263F1"/>
    <w:rsid w:val="00D26487"/>
    <w:rsid w:val="00D265C8"/>
    <w:rsid w:val="00D323C4"/>
    <w:rsid w:val="00D33F2B"/>
    <w:rsid w:val="00D340DB"/>
    <w:rsid w:val="00D34189"/>
    <w:rsid w:val="00D34CE8"/>
    <w:rsid w:val="00D34E19"/>
    <w:rsid w:val="00D3593A"/>
    <w:rsid w:val="00D36139"/>
    <w:rsid w:val="00D375D6"/>
    <w:rsid w:val="00D4001C"/>
    <w:rsid w:val="00D438F0"/>
    <w:rsid w:val="00D44372"/>
    <w:rsid w:val="00D443D4"/>
    <w:rsid w:val="00D4603C"/>
    <w:rsid w:val="00D5206B"/>
    <w:rsid w:val="00D52ADB"/>
    <w:rsid w:val="00D53161"/>
    <w:rsid w:val="00D5508F"/>
    <w:rsid w:val="00D55786"/>
    <w:rsid w:val="00D55EC2"/>
    <w:rsid w:val="00D55F02"/>
    <w:rsid w:val="00D60812"/>
    <w:rsid w:val="00D60A30"/>
    <w:rsid w:val="00D623DD"/>
    <w:rsid w:val="00D62D39"/>
    <w:rsid w:val="00D62FA0"/>
    <w:rsid w:val="00D632DB"/>
    <w:rsid w:val="00D63708"/>
    <w:rsid w:val="00D63B83"/>
    <w:rsid w:val="00D6481B"/>
    <w:rsid w:val="00D66900"/>
    <w:rsid w:val="00D67371"/>
    <w:rsid w:val="00D70935"/>
    <w:rsid w:val="00D724FE"/>
    <w:rsid w:val="00D759E5"/>
    <w:rsid w:val="00D77706"/>
    <w:rsid w:val="00D77A2F"/>
    <w:rsid w:val="00D80219"/>
    <w:rsid w:val="00D8128F"/>
    <w:rsid w:val="00D82717"/>
    <w:rsid w:val="00D82D31"/>
    <w:rsid w:val="00D82E17"/>
    <w:rsid w:val="00D83283"/>
    <w:rsid w:val="00D84645"/>
    <w:rsid w:val="00D859AC"/>
    <w:rsid w:val="00D86198"/>
    <w:rsid w:val="00D874EA"/>
    <w:rsid w:val="00D87704"/>
    <w:rsid w:val="00D878BD"/>
    <w:rsid w:val="00D90EDE"/>
    <w:rsid w:val="00D9165A"/>
    <w:rsid w:val="00D91EAA"/>
    <w:rsid w:val="00D92AC0"/>
    <w:rsid w:val="00D94DD8"/>
    <w:rsid w:val="00D96028"/>
    <w:rsid w:val="00DA1892"/>
    <w:rsid w:val="00DA22EF"/>
    <w:rsid w:val="00DA34B6"/>
    <w:rsid w:val="00DA36CA"/>
    <w:rsid w:val="00DA48A7"/>
    <w:rsid w:val="00DA5907"/>
    <w:rsid w:val="00DA6E22"/>
    <w:rsid w:val="00DA6E7B"/>
    <w:rsid w:val="00DA7022"/>
    <w:rsid w:val="00DB0AED"/>
    <w:rsid w:val="00DB10AB"/>
    <w:rsid w:val="00DB1F0A"/>
    <w:rsid w:val="00DB2B34"/>
    <w:rsid w:val="00DB3CCC"/>
    <w:rsid w:val="00DB53CB"/>
    <w:rsid w:val="00DB67F3"/>
    <w:rsid w:val="00DC11F9"/>
    <w:rsid w:val="00DC2867"/>
    <w:rsid w:val="00DC2BC4"/>
    <w:rsid w:val="00DC343A"/>
    <w:rsid w:val="00DD130F"/>
    <w:rsid w:val="00DD4131"/>
    <w:rsid w:val="00DD4387"/>
    <w:rsid w:val="00DD5B36"/>
    <w:rsid w:val="00DD7C42"/>
    <w:rsid w:val="00DE1F15"/>
    <w:rsid w:val="00DE295D"/>
    <w:rsid w:val="00DE2B95"/>
    <w:rsid w:val="00DE45E9"/>
    <w:rsid w:val="00DE51F9"/>
    <w:rsid w:val="00DE52FB"/>
    <w:rsid w:val="00DE56BC"/>
    <w:rsid w:val="00DE7F8F"/>
    <w:rsid w:val="00DF03B9"/>
    <w:rsid w:val="00DF0C4B"/>
    <w:rsid w:val="00DF0F34"/>
    <w:rsid w:val="00DF1657"/>
    <w:rsid w:val="00DF36FD"/>
    <w:rsid w:val="00DF3718"/>
    <w:rsid w:val="00DF38F5"/>
    <w:rsid w:val="00DF6462"/>
    <w:rsid w:val="00DF6D4A"/>
    <w:rsid w:val="00E00B6A"/>
    <w:rsid w:val="00E01C2C"/>
    <w:rsid w:val="00E020B4"/>
    <w:rsid w:val="00E023F7"/>
    <w:rsid w:val="00E028E3"/>
    <w:rsid w:val="00E035A1"/>
    <w:rsid w:val="00E03911"/>
    <w:rsid w:val="00E049CB"/>
    <w:rsid w:val="00E04D19"/>
    <w:rsid w:val="00E05B4C"/>
    <w:rsid w:val="00E10691"/>
    <w:rsid w:val="00E1143F"/>
    <w:rsid w:val="00E1160F"/>
    <w:rsid w:val="00E116BC"/>
    <w:rsid w:val="00E11A5D"/>
    <w:rsid w:val="00E12377"/>
    <w:rsid w:val="00E12D42"/>
    <w:rsid w:val="00E12E5C"/>
    <w:rsid w:val="00E13986"/>
    <w:rsid w:val="00E14FF2"/>
    <w:rsid w:val="00E16381"/>
    <w:rsid w:val="00E16B3F"/>
    <w:rsid w:val="00E2059A"/>
    <w:rsid w:val="00E234C8"/>
    <w:rsid w:val="00E23FD9"/>
    <w:rsid w:val="00E241D9"/>
    <w:rsid w:val="00E24E21"/>
    <w:rsid w:val="00E26111"/>
    <w:rsid w:val="00E27F54"/>
    <w:rsid w:val="00E30277"/>
    <w:rsid w:val="00E308BB"/>
    <w:rsid w:val="00E313CE"/>
    <w:rsid w:val="00E3165C"/>
    <w:rsid w:val="00E3244D"/>
    <w:rsid w:val="00E32751"/>
    <w:rsid w:val="00E33895"/>
    <w:rsid w:val="00E3398B"/>
    <w:rsid w:val="00E33A3B"/>
    <w:rsid w:val="00E367DC"/>
    <w:rsid w:val="00E36D70"/>
    <w:rsid w:val="00E377C9"/>
    <w:rsid w:val="00E37B82"/>
    <w:rsid w:val="00E37D59"/>
    <w:rsid w:val="00E42E68"/>
    <w:rsid w:val="00E44A20"/>
    <w:rsid w:val="00E44C2A"/>
    <w:rsid w:val="00E453B2"/>
    <w:rsid w:val="00E46571"/>
    <w:rsid w:val="00E501E2"/>
    <w:rsid w:val="00E51651"/>
    <w:rsid w:val="00E550CC"/>
    <w:rsid w:val="00E55672"/>
    <w:rsid w:val="00E5616A"/>
    <w:rsid w:val="00E56FEA"/>
    <w:rsid w:val="00E60196"/>
    <w:rsid w:val="00E61F8D"/>
    <w:rsid w:val="00E63C2D"/>
    <w:rsid w:val="00E67590"/>
    <w:rsid w:val="00E67F1D"/>
    <w:rsid w:val="00E703B0"/>
    <w:rsid w:val="00E709FC"/>
    <w:rsid w:val="00E71ADD"/>
    <w:rsid w:val="00E73876"/>
    <w:rsid w:val="00E74575"/>
    <w:rsid w:val="00E74AD8"/>
    <w:rsid w:val="00E76CEE"/>
    <w:rsid w:val="00E77115"/>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5C4"/>
    <w:rsid w:val="00E95C4B"/>
    <w:rsid w:val="00E965EE"/>
    <w:rsid w:val="00E9683E"/>
    <w:rsid w:val="00E96ECC"/>
    <w:rsid w:val="00E9744A"/>
    <w:rsid w:val="00E97657"/>
    <w:rsid w:val="00EA2A51"/>
    <w:rsid w:val="00EA3F51"/>
    <w:rsid w:val="00EA536C"/>
    <w:rsid w:val="00EA7A63"/>
    <w:rsid w:val="00EB0052"/>
    <w:rsid w:val="00EB0FBB"/>
    <w:rsid w:val="00EB215C"/>
    <w:rsid w:val="00EB3768"/>
    <w:rsid w:val="00EB3A44"/>
    <w:rsid w:val="00EB5817"/>
    <w:rsid w:val="00EB5D26"/>
    <w:rsid w:val="00EB7522"/>
    <w:rsid w:val="00EB7D69"/>
    <w:rsid w:val="00EC223C"/>
    <w:rsid w:val="00EC2870"/>
    <w:rsid w:val="00EC2AC1"/>
    <w:rsid w:val="00EC4184"/>
    <w:rsid w:val="00EC7BA7"/>
    <w:rsid w:val="00ED0CB1"/>
    <w:rsid w:val="00ED230B"/>
    <w:rsid w:val="00ED3570"/>
    <w:rsid w:val="00ED368F"/>
    <w:rsid w:val="00ED3B71"/>
    <w:rsid w:val="00ED4A3F"/>
    <w:rsid w:val="00ED4FDE"/>
    <w:rsid w:val="00ED6D87"/>
    <w:rsid w:val="00EE1DB5"/>
    <w:rsid w:val="00EE3357"/>
    <w:rsid w:val="00EF00C9"/>
    <w:rsid w:val="00EF0C29"/>
    <w:rsid w:val="00EF30E2"/>
    <w:rsid w:val="00EF3119"/>
    <w:rsid w:val="00EF3282"/>
    <w:rsid w:val="00EF6C64"/>
    <w:rsid w:val="00F002AB"/>
    <w:rsid w:val="00F00F89"/>
    <w:rsid w:val="00F013B9"/>
    <w:rsid w:val="00F016BB"/>
    <w:rsid w:val="00F0237A"/>
    <w:rsid w:val="00F039CF"/>
    <w:rsid w:val="00F05335"/>
    <w:rsid w:val="00F0536E"/>
    <w:rsid w:val="00F05D39"/>
    <w:rsid w:val="00F06333"/>
    <w:rsid w:val="00F10E47"/>
    <w:rsid w:val="00F12F6E"/>
    <w:rsid w:val="00F13CBC"/>
    <w:rsid w:val="00F14855"/>
    <w:rsid w:val="00F21417"/>
    <w:rsid w:val="00F21E4B"/>
    <w:rsid w:val="00F22A72"/>
    <w:rsid w:val="00F231CE"/>
    <w:rsid w:val="00F2385F"/>
    <w:rsid w:val="00F247C8"/>
    <w:rsid w:val="00F25BF4"/>
    <w:rsid w:val="00F2635E"/>
    <w:rsid w:val="00F278B9"/>
    <w:rsid w:val="00F30AFD"/>
    <w:rsid w:val="00F318C5"/>
    <w:rsid w:val="00F3199A"/>
    <w:rsid w:val="00F319A5"/>
    <w:rsid w:val="00F33B1D"/>
    <w:rsid w:val="00F343E0"/>
    <w:rsid w:val="00F360B3"/>
    <w:rsid w:val="00F40A28"/>
    <w:rsid w:val="00F41232"/>
    <w:rsid w:val="00F41319"/>
    <w:rsid w:val="00F421E6"/>
    <w:rsid w:val="00F4303A"/>
    <w:rsid w:val="00F44BC3"/>
    <w:rsid w:val="00F475D0"/>
    <w:rsid w:val="00F5118A"/>
    <w:rsid w:val="00F555B0"/>
    <w:rsid w:val="00F6162A"/>
    <w:rsid w:val="00F66759"/>
    <w:rsid w:val="00F67474"/>
    <w:rsid w:val="00F67967"/>
    <w:rsid w:val="00F67CF6"/>
    <w:rsid w:val="00F72651"/>
    <w:rsid w:val="00F7301E"/>
    <w:rsid w:val="00F8175E"/>
    <w:rsid w:val="00F81B05"/>
    <w:rsid w:val="00F81F15"/>
    <w:rsid w:val="00F82049"/>
    <w:rsid w:val="00F82C9F"/>
    <w:rsid w:val="00F8388A"/>
    <w:rsid w:val="00F84E80"/>
    <w:rsid w:val="00F87537"/>
    <w:rsid w:val="00F90D7D"/>
    <w:rsid w:val="00F947DC"/>
    <w:rsid w:val="00F9781A"/>
    <w:rsid w:val="00FA057C"/>
    <w:rsid w:val="00FA086F"/>
    <w:rsid w:val="00FA0D16"/>
    <w:rsid w:val="00FA185B"/>
    <w:rsid w:val="00FA60BF"/>
    <w:rsid w:val="00FA6883"/>
    <w:rsid w:val="00FA7405"/>
    <w:rsid w:val="00FB0D12"/>
    <w:rsid w:val="00FB1CB4"/>
    <w:rsid w:val="00FB23B5"/>
    <w:rsid w:val="00FB39D2"/>
    <w:rsid w:val="00FB3D40"/>
    <w:rsid w:val="00FB44EB"/>
    <w:rsid w:val="00FB675F"/>
    <w:rsid w:val="00FC11A3"/>
    <w:rsid w:val="00FC1300"/>
    <w:rsid w:val="00FC1C93"/>
    <w:rsid w:val="00FC39EF"/>
    <w:rsid w:val="00FC42A3"/>
    <w:rsid w:val="00FC55F9"/>
    <w:rsid w:val="00FC60D4"/>
    <w:rsid w:val="00FC77AE"/>
    <w:rsid w:val="00FC7D9F"/>
    <w:rsid w:val="00FD2BAD"/>
    <w:rsid w:val="00FD2F51"/>
    <w:rsid w:val="00FD330C"/>
    <w:rsid w:val="00FD3660"/>
    <w:rsid w:val="00FD484C"/>
    <w:rsid w:val="00FD49D6"/>
    <w:rsid w:val="00FD55FB"/>
    <w:rsid w:val="00FD569D"/>
    <w:rsid w:val="00FD678B"/>
    <w:rsid w:val="00FD6903"/>
    <w:rsid w:val="00FE1ADC"/>
    <w:rsid w:val="00FE225D"/>
    <w:rsid w:val="00FE4989"/>
    <w:rsid w:val="00FE5C3E"/>
    <w:rsid w:val="00FF0A2F"/>
    <w:rsid w:val="00FF1B04"/>
    <w:rsid w:val="00FF22F8"/>
    <w:rsid w:val="01654C82"/>
    <w:rsid w:val="020A6A96"/>
    <w:rsid w:val="0356786B"/>
    <w:rsid w:val="04586FE9"/>
    <w:rsid w:val="046E31C1"/>
    <w:rsid w:val="056C4F65"/>
    <w:rsid w:val="05B03285"/>
    <w:rsid w:val="06F4696E"/>
    <w:rsid w:val="07245E56"/>
    <w:rsid w:val="09FB7353"/>
    <w:rsid w:val="0C023D8C"/>
    <w:rsid w:val="0C225D7B"/>
    <w:rsid w:val="0D544AD8"/>
    <w:rsid w:val="0E9022D3"/>
    <w:rsid w:val="0E94232E"/>
    <w:rsid w:val="0EDE05BD"/>
    <w:rsid w:val="0F025487"/>
    <w:rsid w:val="0F1306D5"/>
    <w:rsid w:val="10365F82"/>
    <w:rsid w:val="10AB63B0"/>
    <w:rsid w:val="11295396"/>
    <w:rsid w:val="14740EE4"/>
    <w:rsid w:val="147C2A03"/>
    <w:rsid w:val="163E2FB7"/>
    <w:rsid w:val="17101A9E"/>
    <w:rsid w:val="17622796"/>
    <w:rsid w:val="17925B3D"/>
    <w:rsid w:val="19B03844"/>
    <w:rsid w:val="19F32D28"/>
    <w:rsid w:val="1A48157B"/>
    <w:rsid w:val="1AAA799F"/>
    <w:rsid w:val="1B9930ED"/>
    <w:rsid w:val="1BAC7095"/>
    <w:rsid w:val="1BD70953"/>
    <w:rsid w:val="1BF87698"/>
    <w:rsid w:val="1D28083B"/>
    <w:rsid w:val="1E585AB7"/>
    <w:rsid w:val="1EB160C2"/>
    <w:rsid w:val="1FF145B9"/>
    <w:rsid w:val="2193546F"/>
    <w:rsid w:val="22356EE1"/>
    <w:rsid w:val="26F50BA9"/>
    <w:rsid w:val="27BD5E26"/>
    <w:rsid w:val="285E4249"/>
    <w:rsid w:val="29026D00"/>
    <w:rsid w:val="29E373E5"/>
    <w:rsid w:val="2C1C6772"/>
    <w:rsid w:val="2EA421B8"/>
    <w:rsid w:val="2EA644DF"/>
    <w:rsid w:val="2EFA4D05"/>
    <w:rsid w:val="2FB532A0"/>
    <w:rsid w:val="3035346F"/>
    <w:rsid w:val="31640B6A"/>
    <w:rsid w:val="319C4BEA"/>
    <w:rsid w:val="34663B5D"/>
    <w:rsid w:val="34C829B2"/>
    <w:rsid w:val="352B7180"/>
    <w:rsid w:val="35381804"/>
    <w:rsid w:val="36146FAD"/>
    <w:rsid w:val="362A486D"/>
    <w:rsid w:val="386A3F56"/>
    <w:rsid w:val="3A810EF7"/>
    <w:rsid w:val="3A842191"/>
    <w:rsid w:val="3ACF0F3F"/>
    <w:rsid w:val="3B39051F"/>
    <w:rsid w:val="3B7626CB"/>
    <w:rsid w:val="3C3802E9"/>
    <w:rsid w:val="3E586AB8"/>
    <w:rsid w:val="3E5C1B1D"/>
    <w:rsid w:val="3EAE14E9"/>
    <w:rsid w:val="3EFA7065"/>
    <w:rsid w:val="3FD261A6"/>
    <w:rsid w:val="414C2E75"/>
    <w:rsid w:val="41F15766"/>
    <w:rsid w:val="42EB2F9C"/>
    <w:rsid w:val="42F736A3"/>
    <w:rsid w:val="439D563D"/>
    <w:rsid w:val="443C724B"/>
    <w:rsid w:val="45226963"/>
    <w:rsid w:val="46640412"/>
    <w:rsid w:val="479A6CA5"/>
    <w:rsid w:val="4AAE28AC"/>
    <w:rsid w:val="4AD06887"/>
    <w:rsid w:val="4C354C02"/>
    <w:rsid w:val="4D39606F"/>
    <w:rsid w:val="4D9F6648"/>
    <w:rsid w:val="4EB642FA"/>
    <w:rsid w:val="4F8E3D4D"/>
    <w:rsid w:val="5171747E"/>
    <w:rsid w:val="53063B85"/>
    <w:rsid w:val="533C1961"/>
    <w:rsid w:val="53B3493A"/>
    <w:rsid w:val="53EE2EEC"/>
    <w:rsid w:val="546D09D5"/>
    <w:rsid w:val="54715A31"/>
    <w:rsid w:val="5537323C"/>
    <w:rsid w:val="55855837"/>
    <w:rsid w:val="55B656DE"/>
    <w:rsid w:val="55E83741"/>
    <w:rsid w:val="56503211"/>
    <w:rsid w:val="580710CE"/>
    <w:rsid w:val="58600494"/>
    <w:rsid w:val="598B567E"/>
    <w:rsid w:val="5BA35A94"/>
    <w:rsid w:val="5C624734"/>
    <w:rsid w:val="5D5803D9"/>
    <w:rsid w:val="5EB9123F"/>
    <w:rsid w:val="5FE91ABC"/>
    <w:rsid w:val="605365C2"/>
    <w:rsid w:val="628E734C"/>
    <w:rsid w:val="62BD3A82"/>
    <w:rsid w:val="62C45E38"/>
    <w:rsid w:val="6580603B"/>
    <w:rsid w:val="662270BB"/>
    <w:rsid w:val="66A34D18"/>
    <w:rsid w:val="682A44E1"/>
    <w:rsid w:val="68C7223A"/>
    <w:rsid w:val="68EF6886"/>
    <w:rsid w:val="6A8739CF"/>
    <w:rsid w:val="6C2B2E22"/>
    <w:rsid w:val="6D040B5C"/>
    <w:rsid w:val="6EAA7DFD"/>
    <w:rsid w:val="6F315DAE"/>
    <w:rsid w:val="6FDD1093"/>
    <w:rsid w:val="709C0126"/>
    <w:rsid w:val="73D736B7"/>
    <w:rsid w:val="76022652"/>
    <w:rsid w:val="768501BE"/>
    <w:rsid w:val="76C8601E"/>
    <w:rsid w:val="770C74D3"/>
    <w:rsid w:val="77150144"/>
    <w:rsid w:val="7AC82DE4"/>
    <w:rsid w:val="7BEA1CFE"/>
    <w:rsid w:val="7D803772"/>
    <w:rsid w:val="7D80556D"/>
    <w:rsid w:val="7D837716"/>
    <w:rsid w:val="7E3713F1"/>
    <w:rsid w:val="7ED86E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C664549-9AC8-4082-897B-5EFD0E911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qFormat/>
    <w:pPr>
      <w:keepNext/>
      <w:keepLines/>
      <w:spacing w:before="260" w:after="260" w:line="413" w:lineRule="auto"/>
      <w:outlineLvl w:val="2"/>
    </w:pPr>
    <w:rPr>
      <w:rFonts w:ascii="Times New Roman" w:hAnsi="Times New Roman" w:cs="Times New Roman"/>
      <w:b/>
      <w:sz w:val="32"/>
      <w:szCs w:val="20"/>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ascii="Times New Roman" w:hAnsi="Times New Roman" w:cs="Times New Roman"/>
      <w:szCs w:val="20"/>
    </w:rPr>
  </w:style>
  <w:style w:type="paragraph" w:styleId="a4">
    <w:name w:val="Document Map"/>
    <w:basedOn w:val="a"/>
    <w:link w:val="Char"/>
    <w:qFormat/>
    <w:pPr>
      <w:shd w:val="clear" w:color="auto" w:fill="000080"/>
    </w:pPr>
    <w:rPr>
      <w:rFonts w:ascii="Times New Roman" w:hAnsi="Times New Roman" w:cs="Times New Roman"/>
      <w:szCs w:val="20"/>
    </w:rPr>
  </w:style>
  <w:style w:type="paragraph" w:styleId="a5">
    <w:name w:val="annotation text"/>
    <w:basedOn w:val="a"/>
    <w:link w:val="Char0"/>
    <w:uiPriority w:val="99"/>
    <w:qFormat/>
    <w:pPr>
      <w:widowControl/>
      <w:jc w:val="left"/>
    </w:pPr>
    <w:rPr>
      <w:rFonts w:ascii="宋体" w:hAnsi="宋体"/>
      <w:kern w:val="0"/>
      <w:sz w:val="24"/>
      <w:szCs w:val="24"/>
    </w:rPr>
  </w:style>
  <w:style w:type="paragraph" w:styleId="a6">
    <w:name w:val="Body Text"/>
    <w:basedOn w:val="a"/>
    <w:link w:val="Char1"/>
    <w:qFormat/>
    <w:pPr>
      <w:autoSpaceDE w:val="0"/>
      <w:autoSpaceDN w:val="0"/>
      <w:adjustRightInd w:val="0"/>
      <w:spacing w:line="360" w:lineRule="auto"/>
      <w:jc w:val="left"/>
    </w:pPr>
    <w:rPr>
      <w:rFonts w:ascii="宋体"/>
      <w:kern w:val="0"/>
      <w:sz w:val="20"/>
      <w:szCs w:val="20"/>
    </w:rPr>
  </w:style>
  <w:style w:type="paragraph" w:styleId="30">
    <w:name w:val="toc 3"/>
    <w:basedOn w:val="a"/>
    <w:next w:val="a"/>
    <w:uiPriority w:val="39"/>
    <w:qFormat/>
    <w:pPr>
      <w:widowControl/>
      <w:spacing w:after="100" w:line="276" w:lineRule="auto"/>
      <w:ind w:left="440"/>
      <w:jc w:val="left"/>
    </w:pPr>
    <w:rPr>
      <w:kern w:val="0"/>
      <w:sz w:val="22"/>
    </w:rPr>
  </w:style>
  <w:style w:type="paragraph" w:styleId="a7">
    <w:name w:val="Plain Text"/>
    <w:basedOn w:val="a"/>
    <w:link w:val="Char2"/>
    <w:qFormat/>
    <w:pPr>
      <w:adjustRightInd w:val="0"/>
      <w:spacing w:line="312" w:lineRule="atLeast"/>
      <w:textAlignment w:val="baseline"/>
    </w:pPr>
    <w:rPr>
      <w:rFonts w:ascii="宋体" w:hAnsi="Courier New" w:cs="Times New Roman"/>
      <w:kern w:val="0"/>
      <w:szCs w:val="20"/>
    </w:rPr>
  </w:style>
  <w:style w:type="paragraph" w:styleId="20">
    <w:name w:val="Body Text Indent 2"/>
    <w:basedOn w:val="a"/>
    <w:link w:val="2Char0"/>
    <w:qFormat/>
    <w:pPr>
      <w:spacing w:line="360" w:lineRule="auto"/>
      <w:ind w:firstLine="425"/>
    </w:pPr>
    <w:rPr>
      <w:rFonts w:ascii="仿宋_GB2312" w:eastAsia="仿宋_GB2312" w:hAnsi="Times New Roman" w:cs="Times New Roman"/>
      <w:sz w:val="28"/>
      <w:szCs w:val="20"/>
    </w:rPr>
  </w:style>
  <w:style w:type="paragraph" w:styleId="a8">
    <w:name w:val="Balloon Text"/>
    <w:basedOn w:val="a"/>
    <w:link w:val="Char3"/>
    <w:uiPriority w:val="99"/>
    <w:qFormat/>
    <w:rPr>
      <w:sz w:val="18"/>
      <w:szCs w:val="18"/>
    </w:rPr>
  </w:style>
  <w:style w:type="paragraph" w:styleId="a9">
    <w:name w:val="footer"/>
    <w:basedOn w:val="a"/>
    <w:link w:val="Char4"/>
    <w:uiPriority w:val="99"/>
    <w:qFormat/>
    <w:pPr>
      <w:tabs>
        <w:tab w:val="center" w:pos="4153"/>
        <w:tab w:val="right" w:pos="8306"/>
      </w:tabs>
      <w:snapToGrid w:val="0"/>
      <w:jc w:val="left"/>
    </w:pPr>
    <w:rPr>
      <w:sz w:val="18"/>
      <w:szCs w:val="18"/>
    </w:rPr>
  </w:style>
  <w:style w:type="paragraph" w:styleId="aa">
    <w:name w:val="header"/>
    <w:basedOn w:val="a"/>
    <w:link w:val="Char5"/>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widowControl/>
      <w:spacing w:after="100" w:line="276" w:lineRule="auto"/>
      <w:jc w:val="left"/>
    </w:pPr>
    <w:rPr>
      <w:kern w:val="0"/>
      <w:sz w:val="22"/>
    </w:rPr>
  </w:style>
  <w:style w:type="paragraph" w:styleId="ab">
    <w:name w:val="footnote text"/>
    <w:basedOn w:val="a"/>
    <w:link w:val="Char6"/>
    <w:qFormat/>
    <w:pPr>
      <w:snapToGrid w:val="0"/>
      <w:jc w:val="left"/>
    </w:pPr>
    <w:rPr>
      <w:rFonts w:ascii="Times New Roman" w:hAnsi="Times New Roman" w:cs="Times New Roman"/>
      <w:sz w:val="18"/>
      <w:szCs w:val="20"/>
    </w:rPr>
  </w:style>
  <w:style w:type="paragraph" w:styleId="31">
    <w:name w:val="Body Text Indent 3"/>
    <w:basedOn w:val="a"/>
    <w:link w:val="3Char0"/>
    <w:qFormat/>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21">
    <w:name w:val="toc 2"/>
    <w:basedOn w:val="a"/>
    <w:next w:val="a"/>
    <w:uiPriority w:val="39"/>
    <w:qFormat/>
    <w:pPr>
      <w:widowControl/>
      <w:spacing w:after="100" w:line="276" w:lineRule="auto"/>
      <w:ind w:left="220"/>
      <w:jc w:val="left"/>
    </w:pPr>
    <w:rPr>
      <w:kern w:val="0"/>
      <w:sz w:val="22"/>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c">
    <w:name w:val="Normal (Web)"/>
    <w:basedOn w:val="a"/>
    <w:qFormat/>
    <w:pPr>
      <w:widowControl/>
      <w:spacing w:before="100" w:beforeAutospacing="1" w:after="100" w:afterAutospacing="1"/>
      <w:jc w:val="left"/>
    </w:pPr>
    <w:rPr>
      <w:rFonts w:ascii="宋体" w:hAnsi="宋体"/>
      <w:kern w:val="0"/>
      <w:sz w:val="24"/>
      <w:szCs w:val="24"/>
    </w:rPr>
  </w:style>
  <w:style w:type="paragraph" w:styleId="ad">
    <w:name w:val="Title"/>
    <w:basedOn w:val="a"/>
    <w:next w:val="a"/>
    <w:link w:val="Char7"/>
    <w:qFormat/>
    <w:pPr>
      <w:spacing w:before="240" w:after="60"/>
      <w:jc w:val="center"/>
      <w:outlineLvl w:val="0"/>
    </w:pPr>
    <w:rPr>
      <w:rFonts w:ascii="Cambria" w:hAnsi="Cambria"/>
      <w:b/>
      <w:sz w:val="32"/>
      <w:szCs w:val="20"/>
    </w:rPr>
  </w:style>
  <w:style w:type="paragraph" w:styleId="ae">
    <w:name w:val="annotation subject"/>
    <w:basedOn w:val="a5"/>
    <w:next w:val="a5"/>
    <w:link w:val="Char8"/>
    <w:qFormat/>
    <w:pPr>
      <w:widowControl w:val="0"/>
    </w:pPr>
    <w:rPr>
      <w:rFonts w:ascii="Calibri" w:hAnsi="Calibri"/>
      <w:b/>
      <w:bCs/>
      <w:kern w:val="2"/>
      <w:sz w:val="21"/>
      <w:szCs w:val="22"/>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uiPriority w:val="22"/>
    <w:qFormat/>
    <w:rPr>
      <w:b/>
      <w:bCs/>
    </w:rPr>
  </w:style>
  <w:style w:type="character" w:styleId="af1">
    <w:name w:val="page number"/>
    <w:basedOn w:val="a0"/>
    <w:qFormat/>
  </w:style>
  <w:style w:type="character" w:styleId="af2">
    <w:name w:val="Hyperlink"/>
    <w:basedOn w:val="a0"/>
    <w:uiPriority w:val="99"/>
    <w:unhideWhenUsed/>
    <w:qFormat/>
    <w:rPr>
      <w:color w:val="0000FF" w:themeColor="hyperlink"/>
      <w:u w:val="single"/>
    </w:rPr>
  </w:style>
  <w:style w:type="character" w:styleId="af3">
    <w:name w:val="annotation reference"/>
    <w:uiPriority w:val="99"/>
    <w:qFormat/>
    <w:rPr>
      <w:sz w:val="21"/>
      <w:szCs w:val="21"/>
    </w:rPr>
  </w:style>
  <w:style w:type="character" w:styleId="af4">
    <w:name w:val="footnote reference"/>
    <w:qFormat/>
    <w:rPr>
      <w:vertAlign w:val="superscript"/>
    </w:rPr>
  </w:style>
  <w:style w:type="character" w:customStyle="1" w:styleId="Char5">
    <w:name w:val="页眉 Char"/>
    <w:basedOn w:val="a0"/>
    <w:link w:val="aa"/>
    <w:uiPriority w:val="99"/>
    <w:qFormat/>
    <w:rPr>
      <w:sz w:val="18"/>
      <w:szCs w:val="18"/>
    </w:rPr>
  </w:style>
  <w:style w:type="character" w:customStyle="1" w:styleId="Char4">
    <w:name w:val="页脚 Char"/>
    <w:basedOn w:val="a0"/>
    <w:link w:val="a9"/>
    <w:uiPriority w:val="99"/>
    <w:qFormat/>
    <w:rPr>
      <w:sz w:val="18"/>
      <w:szCs w:val="18"/>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af5">
    <w:name w:val="a"/>
    <w:basedOn w:val="a"/>
    <w:uiPriority w:val="99"/>
    <w:qFormat/>
    <w:pPr>
      <w:widowControl/>
      <w:spacing w:before="100" w:beforeAutospacing="1" w:after="100" w:afterAutospacing="1"/>
      <w:jc w:val="left"/>
    </w:pPr>
    <w:rPr>
      <w:rFonts w:ascii="宋体" w:hAnsi="宋体"/>
      <w:kern w:val="0"/>
      <w:sz w:val="24"/>
      <w:szCs w:val="24"/>
    </w:rPr>
  </w:style>
  <w:style w:type="character" w:customStyle="1" w:styleId="Char0">
    <w:name w:val="批注文字 Char"/>
    <w:basedOn w:val="a0"/>
    <w:link w:val="a5"/>
    <w:uiPriority w:val="99"/>
    <w:qFormat/>
    <w:rPr>
      <w:rFonts w:ascii="宋体" w:eastAsia="宋体" w:hAnsi="宋体" w:cs="宋体"/>
      <w:kern w:val="0"/>
      <w:sz w:val="24"/>
      <w:szCs w:val="24"/>
    </w:rPr>
  </w:style>
  <w:style w:type="character" w:customStyle="1" w:styleId="Char3">
    <w:name w:val="批注框文本 Char"/>
    <w:basedOn w:val="a0"/>
    <w:link w:val="a8"/>
    <w:uiPriority w:val="99"/>
    <w:qFormat/>
    <w:rPr>
      <w:sz w:val="18"/>
      <w:szCs w:val="18"/>
    </w:rPr>
  </w:style>
  <w:style w:type="paragraph" w:styleId="af6">
    <w:name w:val="List Paragraph"/>
    <w:basedOn w:val="a"/>
    <w:qFormat/>
    <w:pPr>
      <w:ind w:firstLineChars="200" w:firstLine="420"/>
    </w:pPr>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
    <w:name w:val="修订1"/>
    <w:uiPriority w:val="99"/>
    <w:qFormat/>
    <w:rPr>
      <w:rFonts w:ascii="Calibri" w:hAnsi="Calibri" w:cs="宋体"/>
      <w:kern w:val="2"/>
      <w:sz w:val="21"/>
      <w:szCs w:val="22"/>
    </w:rPr>
  </w:style>
  <w:style w:type="character" w:customStyle="1" w:styleId="Char8">
    <w:name w:val="批注主题 Char"/>
    <w:basedOn w:val="Char0"/>
    <w:link w:val="ae"/>
    <w:uiPriority w:val="99"/>
    <w:qFormat/>
    <w:rPr>
      <w:rFonts w:ascii="宋体" w:eastAsia="宋体" w:hAnsi="宋体" w:cs="宋体"/>
      <w:b/>
      <w:bCs/>
      <w:kern w:val="0"/>
      <w:sz w:val="24"/>
      <w:szCs w:val="24"/>
    </w:rPr>
  </w:style>
  <w:style w:type="character" w:customStyle="1" w:styleId="HTMLChar">
    <w:name w:val="HTML 预设格式 Char"/>
    <w:basedOn w:val="a0"/>
    <w:link w:val="HTML"/>
    <w:uiPriority w:val="99"/>
    <w:qFormat/>
    <w:rPr>
      <w:rFonts w:ascii="宋体" w:eastAsia="宋体" w:hAnsi="宋体" w:cs="宋体"/>
      <w:kern w:val="0"/>
      <w:sz w:val="24"/>
      <w:szCs w:val="24"/>
    </w:rPr>
  </w:style>
  <w:style w:type="paragraph" w:customStyle="1" w:styleId="p0">
    <w:name w:val="p0"/>
    <w:basedOn w:val="a"/>
    <w:qFormat/>
    <w:pPr>
      <w:widowControl/>
      <w:spacing w:before="100" w:beforeAutospacing="1" w:after="100" w:afterAutospacing="1"/>
      <w:jc w:val="left"/>
    </w:pPr>
    <w:rPr>
      <w:rFonts w:ascii="宋体" w:hAnsi="宋体"/>
      <w:kern w:val="0"/>
      <w:sz w:val="24"/>
      <w:szCs w:val="24"/>
    </w:rPr>
  </w:style>
  <w:style w:type="paragraph" w:customStyle="1" w:styleId="22">
    <w:name w:val="修订2"/>
    <w:hidden/>
    <w:uiPriority w:val="99"/>
    <w:semiHidden/>
    <w:qFormat/>
    <w:rPr>
      <w:rFonts w:ascii="Calibri" w:hAnsi="Calibri" w:cs="宋体"/>
      <w:kern w:val="2"/>
      <w:sz w:val="21"/>
      <w:szCs w:val="22"/>
    </w:rPr>
  </w:style>
  <w:style w:type="character" w:customStyle="1" w:styleId="Char10">
    <w:name w:val="批注文字 Char1"/>
    <w:basedOn w:val="a0"/>
    <w:qFormat/>
    <w:rPr>
      <w:kern w:val="2"/>
      <w:sz w:val="21"/>
    </w:rPr>
  </w:style>
  <w:style w:type="paragraph" w:customStyle="1" w:styleId="32">
    <w:name w:val="修订3"/>
    <w:hidden/>
    <w:uiPriority w:val="99"/>
    <w:semiHidden/>
    <w:qFormat/>
    <w:rPr>
      <w:rFonts w:ascii="Calibri" w:hAnsi="Calibri" w:cs="宋体"/>
      <w:kern w:val="2"/>
      <w:sz w:val="21"/>
      <w:szCs w:val="2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basedOn w:val="a0"/>
    <w:link w:val="2"/>
    <w:qFormat/>
    <w:rPr>
      <w:rFonts w:ascii="Arial" w:eastAsia="黑体" w:hAnsi="Arial" w:cs="Times New Roman"/>
      <w:b/>
      <w:kern w:val="2"/>
      <w:sz w:val="32"/>
    </w:rPr>
  </w:style>
  <w:style w:type="character" w:customStyle="1" w:styleId="3Char">
    <w:name w:val="标题 3 Char"/>
    <w:basedOn w:val="a0"/>
    <w:link w:val="3"/>
    <w:qFormat/>
    <w:rPr>
      <w:rFonts w:ascii="Times New Roman" w:hAnsi="Times New Roman" w:cs="Times New Roman"/>
      <w:b/>
      <w:kern w:val="2"/>
      <w:sz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7">
    <w:name w:val="标题 Char"/>
    <w:link w:val="ad"/>
    <w:qFormat/>
    <w:rPr>
      <w:rFonts w:ascii="Cambria" w:hAnsi="Cambria"/>
      <w:b/>
      <w:kern w:val="2"/>
      <w:sz w:val="32"/>
    </w:rPr>
  </w:style>
  <w:style w:type="character" w:customStyle="1" w:styleId="Char1">
    <w:name w:val="正文文本 Char"/>
    <w:link w:val="a6"/>
    <w:qFormat/>
    <w:rPr>
      <w:rFonts w:ascii="宋体"/>
    </w:rPr>
  </w:style>
  <w:style w:type="paragraph" w:customStyle="1" w:styleId="Char9">
    <w:name w:val="Char"/>
    <w:basedOn w:val="a"/>
    <w:qFormat/>
    <w:rPr>
      <w:rFonts w:ascii="Times New Roman" w:hAnsi="Times New Roman" w:cs="Times New Roman"/>
      <w:szCs w:val="20"/>
    </w:rPr>
  </w:style>
  <w:style w:type="paragraph" w:customStyle="1" w:styleId="CharCharCharChar">
    <w:name w:val="Char Char Char Char"/>
    <w:basedOn w:val="a"/>
    <w:qFormat/>
    <w:pPr>
      <w:tabs>
        <w:tab w:val="left" w:pos="360"/>
      </w:tabs>
    </w:pPr>
    <w:rPr>
      <w:rFonts w:ascii="Times New Roman" w:hAnsi="Times New Roman" w:cs="Times New Roman"/>
      <w:szCs w:val="20"/>
    </w:rPr>
  </w:style>
  <w:style w:type="paragraph" w:customStyle="1" w:styleId="CharChar1">
    <w:name w:val="Char Char1"/>
    <w:basedOn w:val="a"/>
    <w:qFormat/>
    <w:rPr>
      <w:rFonts w:ascii="Times New Roman" w:hAnsi="Times New Roman" w:cs="Times New Roman"/>
      <w:szCs w:val="20"/>
    </w:rPr>
  </w:style>
  <w:style w:type="paragraph" w:customStyle="1" w:styleId="unnamed1">
    <w:name w:val="unnamed1"/>
    <w:basedOn w:val="a"/>
    <w:qFormat/>
    <w:pPr>
      <w:spacing w:before="60" w:after="60"/>
      <w:ind w:left="15" w:right="15"/>
    </w:pPr>
    <w:rPr>
      <w:rFonts w:ascii="宋体" w:hAnsi="宋体" w:cs="Times New Roman" w:hint="eastAsia"/>
      <w:color w:val="000000"/>
      <w:sz w:val="18"/>
      <w:szCs w:val="18"/>
    </w:rPr>
  </w:style>
  <w:style w:type="paragraph" w:customStyle="1" w:styleId="af7">
    <w:name w:val="正文正文"/>
    <w:basedOn w:val="a"/>
    <w:qFormat/>
    <w:pPr>
      <w:spacing w:afterLines="25" w:line="360" w:lineRule="auto"/>
      <w:ind w:firstLineChars="200" w:firstLine="200"/>
    </w:pPr>
    <w:rPr>
      <w:rFonts w:ascii="Times New Roman" w:hAnsi="Times New Roman" w:cs="Times New Roman"/>
      <w:sz w:val="24"/>
      <w:szCs w:val="20"/>
    </w:rPr>
  </w:style>
  <w:style w:type="paragraph" w:customStyle="1" w:styleId="Char20">
    <w:name w:val="Char2"/>
    <w:basedOn w:val="a"/>
    <w:qFormat/>
    <w:rPr>
      <w:rFonts w:ascii="Times New Roman" w:hAnsi="Times New Roman" w:cs="Times New Roman"/>
      <w:szCs w:val="20"/>
    </w:rPr>
  </w:style>
  <w:style w:type="character" w:customStyle="1" w:styleId="Char">
    <w:name w:val="文档结构图 Char"/>
    <w:basedOn w:val="a0"/>
    <w:link w:val="a4"/>
    <w:qFormat/>
    <w:rPr>
      <w:rFonts w:ascii="Times New Roman" w:hAnsi="Times New Roman" w:cs="Times New Roman"/>
      <w:kern w:val="2"/>
      <w:sz w:val="21"/>
      <w:shd w:val="clear" w:color="auto" w:fill="000080"/>
    </w:rPr>
  </w:style>
  <w:style w:type="character" w:customStyle="1" w:styleId="Char2">
    <w:name w:val="纯文本 Char"/>
    <w:basedOn w:val="a0"/>
    <w:link w:val="a7"/>
    <w:qFormat/>
    <w:rPr>
      <w:rFonts w:ascii="宋体" w:hAnsi="Courier New" w:cs="Times New Roman"/>
      <w:sz w:val="21"/>
    </w:rPr>
  </w:style>
  <w:style w:type="paragraph" w:customStyle="1" w:styleId="CharChar">
    <w:name w:val="Char Char"/>
    <w:basedOn w:val="a"/>
    <w:qFormat/>
    <w:rPr>
      <w:rFonts w:ascii="Times New Roman" w:hAnsi="Times New Roman" w:cs="Times New Roman"/>
      <w:szCs w:val="20"/>
    </w:rPr>
  </w:style>
  <w:style w:type="character" w:customStyle="1" w:styleId="Char11">
    <w:name w:val="正文文本 Char1"/>
    <w:basedOn w:val="a0"/>
    <w:uiPriority w:val="99"/>
    <w:semiHidden/>
    <w:qFormat/>
    <w:rPr>
      <w:kern w:val="2"/>
      <w:sz w:val="21"/>
      <w:szCs w:val="22"/>
    </w:rPr>
  </w:style>
  <w:style w:type="character" w:customStyle="1" w:styleId="Char12">
    <w:name w:val="标题 Char1"/>
    <w:basedOn w:val="a0"/>
    <w:uiPriority w:val="10"/>
    <w:qFormat/>
    <w:rPr>
      <w:rFonts w:asciiTheme="majorHAnsi" w:hAnsiTheme="majorHAnsi" w:cstheme="majorBidi"/>
      <w:b/>
      <w:bCs/>
      <w:kern w:val="2"/>
      <w:sz w:val="32"/>
      <w:szCs w:val="32"/>
    </w:rPr>
  </w:style>
  <w:style w:type="paragraph" w:customStyle="1" w:styleId="CharCharChar">
    <w:name w:val="Char Char Char"/>
    <w:basedOn w:val="a"/>
    <w:qFormat/>
    <w:rPr>
      <w:rFonts w:ascii="Times New Roman" w:hAnsi="Times New Roman" w:cs="Times New Roman"/>
      <w:szCs w:val="20"/>
    </w:rPr>
  </w:style>
  <w:style w:type="paragraph" w:customStyle="1" w:styleId="msonormal1">
    <w:name w:val="msonormal1"/>
    <w:qFormat/>
    <w:pPr>
      <w:widowControl w:val="0"/>
      <w:jc w:val="both"/>
    </w:pPr>
    <w:rPr>
      <w:kern w:val="2"/>
      <w:sz w:val="21"/>
    </w:rPr>
  </w:style>
  <w:style w:type="character" w:customStyle="1" w:styleId="3Char0">
    <w:name w:val="正文文本缩进 3 Char"/>
    <w:basedOn w:val="a0"/>
    <w:link w:val="31"/>
    <w:qFormat/>
    <w:rPr>
      <w:rFonts w:ascii="Times New Roman" w:hAnsi="Times New Roman" w:cs="Times New Roman"/>
      <w:color w:val="0000FF"/>
      <w:kern w:val="2"/>
      <w:sz w:val="21"/>
    </w:rPr>
  </w:style>
  <w:style w:type="character" w:customStyle="1" w:styleId="2Char0">
    <w:name w:val="正文文本缩进 2 Char"/>
    <w:basedOn w:val="a0"/>
    <w:link w:val="20"/>
    <w:qFormat/>
    <w:rPr>
      <w:rFonts w:ascii="仿宋_GB2312" w:eastAsia="仿宋_GB2312" w:hAnsi="Times New Roman" w:cs="Times New Roman"/>
      <w:kern w:val="2"/>
      <w:sz w:val="28"/>
    </w:rPr>
  </w:style>
  <w:style w:type="character" w:customStyle="1" w:styleId="Char6">
    <w:name w:val="脚注文本 Char"/>
    <w:basedOn w:val="a0"/>
    <w:link w:val="ab"/>
    <w:qFormat/>
    <w:rPr>
      <w:rFonts w:ascii="Times New Roman" w:hAnsi="Times New Roman" w:cs="Times New Roman"/>
      <w:kern w:val="2"/>
      <w:sz w:val="18"/>
    </w:rPr>
  </w:style>
  <w:style w:type="paragraph" w:customStyle="1" w:styleId="Listbullet">
    <w:name w:val="List_bullet"/>
    <w:basedOn w:val="a"/>
    <w:qFormat/>
    <w:pPr>
      <w:widowControl/>
      <w:numPr>
        <w:numId w:val="1"/>
      </w:numPr>
      <w:jc w:val="left"/>
    </w:pPr>
    <w:rPr>
      <w:rFonts w:ascii="Times New Roman" w:hAnsi="Times New Roman" w:cs="Times New Roman"/>
      <w:kern w:val="0"/>
      <w:sz w:val="24"/>
      <w:szCs w:val="20"/>
    </w:rPr>
  </w:style>
  <w:style w:type="paragraph" w:customStyle="1" w:styleId="InfoBlue">
    <w:name w:val="InfoBlue"/>
    <w:basedOn w:val="a"/>
    <w:next w:val="a6"/>
    <w:qFormat/>
    <w:pPr>
      <w:tabs>
        <w:tab w:val="left" w:pos="420"/>
      </w:tabs>
      <w:spacing w:after="120" w:line="240" w:lineRule="atLeast"/>
      <w:ind w:left="420" w:hanging="420"/>
      <w:jc w:val="left"/>
    </w:pPr>
    <w:rPr>
      <w:rFonts w:ascii="宋体" w:hAnsi="宋体" w:cs="Times New Roman"/>
      <w:szCs w:val="20"/>
    </w:rPr>
  </w:style>
  <w:style w:type="paragraph" w:customStyle="1" w:styleId="af8">
    <w:name w:val="正文所"/>
    <w:basedOn w:val="a"/>
    <w:qFormat/>
    <w:pPr>
      <w:spacing w:line="360" w:lineRule="auto"/>
      <w:ind w:firstLineChars="200" w:firstLine="420"/>
    </w:pPr>
    <w:rPr>
      <w:rFonts w:ascii="宋体" w:hAnsi="Times New Roman" w:cs="Times New Roman"/>
      <w:szCs w:val="20"/>
    </w:rPr>
  </w:style>
  <w:style w:type="paragraph" w:customStyle="1" w:styleId="CharChar6">
    <w:name w:val="Char Char6"/>
    <w:basedOn w:val="a"/>
    <w:qFormat/>
    <w:rPr>
      <w:rFonts w:ascii="Times New Roman" w:hAnsi="Times New Roman" w:cs="Times New Roman"/>
      <w:szCs w:val="20"/>
    </w:rPr>
  </w:style>
  <w:style w:type="paragraph" w:customStyle="1" w:styleId="CharCharCharChar1">
    <w:name w:val="Char Char Char Char1"/>
    <w:basedOn w:val="a"/>
    <w:qFormat/>
    <w:pPr>
      <w:tabs>
        <w:tab w:val="left" w:pos="360"/>
      </w:tabs>
    </w:pPr>
    <w:rPr>
      <w:rFonts w:ascii="Times New Roman" w:hAnsi="Times New Roman" w:cs="Times New Roman"/>
      <w:szCs w:val="20"/>
    </w:rPr>
  </w:style>
  <w:style w:type="paragraph" w:customStyle="1" w:styleId="CharChar11">
    <w:name w:val="Char Char11"/>
    <w:basedOn w:val="a"/>
    <w:qFormat/>
    <w:rPr>
      <w:rFonts w:ascii="Times New Roman" w:hAnsi="Times New Roman" w:cs="Times New Roman"/>
      <w:szCs w:val="20"/>
    </w:rPr>
  </w:style>
  <w:style w:type="paragraph" w:customStyle="1" w:styleId="Char13">
    <w:name w:val="Char1"/>
    <w:basedOn w:val="a"/>
    <w:qFormat/>
    <w:rPr>
      <w:rFonts w:ascii="Times New Roman" w:hAnsi="Times New Roman" w:cs="Times New Roman"/>
      <w:szCs w:val="20"/>
    </w:rPr>
  </w:style>
  <w:style w:type="paragraph" w:customStyle="1" w:styleId="CharChar5">
    <w:name w:val="Char Char5"/>
    <w:basedOn w:val="a"/>
    <w:qFormat/>
    <w:rPr>
      <w:rFonts w:ascii="Times New Roman" w:hAnsi="Times New Roman" w:cs="Times New Roman"/>
      <w:szCs w:val="20"/>
    </w:rPr>
  </w:style>
  <w:style w:type="paragraph" w:customStyle="1" w:styleId="CharCharChar1">
    <w:name w:val="Char Char Char1"/>
    <w:basedOn w:val="a"/>
    <w:qFormat/>
    <w:rPr>
      <w:rFonts w:ascii="Times New Roman" w:hAnsi="Times New Roman" w:cs="Times New Roman"/>
      <w:szCs w:val="20"/>
    </w:rPr>
  </w:style>
  <w:style w:type="paragraph" w:customStyle="1" w:styleId="CharChar4">
    <w:name w:val="Char Char4"/>
    <w:basedOn w:val="a"/>
    <w:qFormat/>
    <w:rPr>
      <w:rFonts w:ascii="Times New Roman" w:hAnsi="Times New Roman" w:cs="Times New Roman"/>
      <w:szCs w:val="20"/>
    </w:rPr>
  </w:style>
  <w:style w:type="paragraph" w:customStyle="1" w:styleId="CharChar3">
    <w:name w:val="Char Char3"/>
    <w:basedOn w:val="a"/>
    <w:qFormat/>
    <w:rPr>
      <w:rFonts w:ascii="Times New Roman" w:hAnsi="Times New Roman" w:cs="Times New Roman"/>
      <w:szCs w:val="20"/>
    </w:rPr>
  </w:style>
  <w:style w:type="paragraph" w:customStyle="1" w:styleId="CharChar2">
    <w:name w:val="Char Char2"/>
    <w:basedOn w:val="a"/>
    <w:qFormat/>
    <w:rPr>
      <w:rFonts w:ascii="Times New Roman" w:hAnsi="Times New Roman" w:cs="Times New Roman"/>
      <w:szCs w:val="20"/>
    </w:rPr>
  </w:style>
  <w:style w:type="paragraph" w:customStyle="1" w:styleId="12">
    <w:name w:val="正文1"/>
    <w:qFormat/>
    <w:pPr>
      <w:jc w:val="both"/>
    </w:pPr>
    <w:rPr>
      <w:kern w:val="2"/>
      <w:sz w:val="21"/>
      <w:szCs w:val="21"/>
    </w:rPr>
  </w:style>
  <w:style w:type="paragraph" w:customStyle="1" w:styleId="40">
    <w:name w:val="修订4"/>
    <w:hidden/>
    <w:uiPriority w:val="99"/>
    <w:semiHidden/>
    <w:qFormat/>
    <w:rPr>
      <w:rFonts w:ascii="Calibri" w:hAnsi="Calibri" w:cs="宋体"/>
      <w:kern w:val="2"/>
      <w:sz w:val="21"/>
      <w:szCs w:val="22"/>
    </w:rPr>
  </w:style>
  <w:style w:type="paragraph" w:customStyle="1" w:styleId="23">
    <w:name w:val="正文2"/>
    <w:qFormat/>
    <w:pPr>
      <w:jc w:val="both"/>
    </w:pPr>
    <w:rPr>
      <w:rFonts w:ascii="Calibri" w:hAnsi="Calibri"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settings" Target="setting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tyles" Target="styles.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footnotes" Target="footnotes.xml"/><Relationship Id="rId28"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numbering" Target="numbering.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webSettings" Target="webSettings.xm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s:customData xmlns="http://www.wps.cn/officeDocument/2013/wpsCustomData" xmlns:s="http://www.wps.cn/officeDocument/2013/wpsCustomData">
  <customSectProps>
    <customSectPr/>
  </customSectProps>
</s: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02962D-C8CC-43BF-804A-CD60AE6D7475}">
  <ds:schemaRefs>
    <ds:schemaRef ds:uri="http://www.wps.cn/android/officeDocument/2013/mofficeCustomData"/>
  </ds:schemaRefs>
</ds:datastoreItem>
</file>

<file path=customXml/itemProps2.xml><?xml version="1.0" encoding="utf-8"?>
<ds:datastoreItem xmlns:ds="http://schemas.openxmlformats.org/officeDocument/2006/customXml" ds:itemID="{9114D43D-ED98-4C7B-A3AE-26D78B80CA82}">
  <ds:schemaRefs>
    <ds:schemaRef ds:uri="http://www.wps.cn/android/officeDocument/2013/mofficeCustomData"/>
  </ds:schemaRefs>
</ds:datastoreItem>
</file>

<file path=customXml/itemProps3.xml><?xml version="1.0" encoding="utf-8"?>
<ds:datastoreItem xmlns:ds="http://schemas.openxmlformats.org/officeDocument/2006/customXml" ds:itemID="{1A3BDF38-4832-4575-A8AB-7A1679738229}">
  <ds:schemaRefs>
    <ds:schemaRef ds:uri="http://www.wps.cn/android/officeDocument/2013/mofficeCustomData"/>
  </ds:schemaRefs>
</ds:datastoreItem>
</file>

<file path=customXml/itemProps4.xml><?xml version="1.0" encoding="utf-8"?>
<ds:datastoreItem xmlns:ds="http://schemas.openxmlformats.org/officeDocument/2006/customXml" ds:itemID="{AC86F3EB-DB57-4B60-8A7E-BBB67A22EE0B}">
  <ds:schemaRefs>
    <ds:schemaRef ds:uri="http://www.wps.cn/android/officeDocument/2013/mofficeCustomData"/>
  </ds:schemaRefs>
</ds:datastoreItem>
</file>

<file path=customXml/itemProps5.xml><?xml version="1.0" encoding="utf-8"?>
<ds:datastoreItem xmlns:ds="http://schemas.openxmlformats.org/officeDocument/2006/customXml" ds:itemID="{CF487381-D648-48A1-B1E4-A4540B0D3650}">
  <ds:schemaRefs>
    <ds:schemaRef ds:uri="http://www.wps.cn/android/officeDocument/2013/mofficeCustomData"/>
  </ds:schemaRefs>
</ds:datastoreItem>
</file>

<file path=customXml/itemProps6.xml><?xml version="1.0" encoding="utf-8"?>
<ds:datastoreItem xmlns:ds="http://schemas.openxmlformats.org/officeDocument/2006/customXml" ds:itemID="{0A7AA9EF-3B8C-4BAA-9155-A6E3E5337D3C}">
  <ds:schemaRefs>
    <ds:schemaRef ds:uri="http://www.wps.cn/android/officeDocument/2013/mofficeCustomData"/>
  </ds:schemaRefs>
</ds:datastoreItem>
</file>

<file path=customXml/itemProps7.xml><?xml version="1.0" encoding="utf-8"?>
<ds:datastoreItem xmlns:ds="http://schemas.openxmlformats.org/officeDocument/2006/customXml" ds:itemID="{7E5C9D84-6DB6-48FB-8632-D5279FC233C8}">
  <ds:schemaRefs>
    <ds:schemaRef ds:uri="http://www.wps.cn/android/officeDocument/2013/mofficeCustomData"/>
  </ds:schemaRefs>
</ds:datastoreItem>
</file>

<file path=customXml/itemProps8.xml><?xml version="1.0" encoding="utf-8"?>
<ds:datastoreItem xmlns:ds="http://schemas.openxmlformats.org/officeDocument/2006/customXml" ds:itemID="{1990A2D8-324F-45D5-B9CD-07245ED2860B}">
  <ds:schemaRefs>
    <ds:schemaRef ds:uri="http://www.wps.cn/android/officeDocument/2013/mofficeCustomData"/>
  </ds:schemaRefs>
</ds:datastoreItem>
</file>

<file path=customXml/itemProps9.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0.xml><?xml version="1.0" encoding="utf-8"?>
<ds:datastoreItem xmlns:ds="http://schemas.openxmlformats.org/officeDocument/2006/customXml" ds:itemID="{E6D3D55C-3DD8-4C31-8069-E5508DD844FB}">
  <ds:schemaRefs>
    <ds:schemaRef ds:uri="http://www.wps.cn/android/officeDocument/2013/mofficeCustomData"/>
  </ds:schemaRefs>
</ds:datastoreItem>
</file>

<file path=customXml/itemProps11.xml><?xml version="1.0" encoding="utf-8"?>
<ds:datastoreItem xmlns:ds="http://schemas.openxmlformats.org/officeDocument/2006/customXml" ds:itemID="{EC45DDBE-A426-47CA-BC62-D025DE29F1BC}">
  <ds:schemaRefs>
    <ds:schemaRef ds:uri="http://www.wps.cn/android/officeDocument/2013/mofficeCustomData"/>
  </ds:schemaRefs>
</ds:datastoreItem>
</file>

<file path=customXml/itemProps12.xml><?xml version="1.0" encoding="utf-8"?>
<ds:datastoreItem xmlns:ds="http://schemas.openxmlformats.org/officeDocument/2006/customXml" ds:itemID="{509BA638-9D3A-4AA3-A169-FF78BC0E4BE9}">
  <ds:schemaRefs>
    <ds:schemaRef ds:uri="http://www.wps.cn/android/officeDocument/2013/mofficeCustomData"/>
  </ds:schemaRefs>
</ds:datastoreItem>
</file>

<file path=customXml/itemProps13.xml><?xml version="1.0" encoding="utf-8"?>
<ds:datastoreItem xmlns:ds="http://schemas.openxmlformats.org/officeDocument/2006/customXml" ds:itemID="{3A3C3A8D-C5E4-45AF-8B48-C3BF528808AD}">
  <ds:schemaRefs>
    <ds:schemaRef ds:uri="http://www.wps.cn/android/officeDocument/2013/mofficeCustomData"/>
  </ds:schemaRefs>
</ds:datastoreItem>
</file>

<file path=customXml/itemProps14.xml><?xml version="1.0" encoding="utf-8"?>
<ds:datastoreItem xmlns:ds="http://schemas.openxmlformats.org/officeDocument/2006/customXml" ds:itemID="{BEEE0313-55EB-45FA-BBBD-C0232D367255}">
  <ds:schemaRefs>
    <ds:schemaRef ds:uri="http://www.wps.cn/android/officeDocument/2013/mofficeCustomData"/>
  </ds:schemaRefs>
</ds:datastoreItem>
</file>

<file path=customXml/itemProps15.xml><?xml version="1.0" encoding="utf-8"?>
<ds:datastoreItem xmlns:ds="http://schemas.openxmlformats.org/officeDocument/2006/customXml" ds:itemID="{2108FF18-8EC8-4170-A536-1AA8E39CC797}">
  <ds:schemaRefs>
    <ds:schemaRef ds:uri="http://www.wps.cn/android/officeDocument/2013/mofficeCustomData"/>
  </ds:schemaRefs>
</ds:datastoreItem>
</file>

<file path=customXml/itemProps16.xml><?xml version="1.0" encoding="utf-8"?>
<ds:datastoreItem xmlns:ds="http://schemas.openxmlformats.org/officeDocument/2006/customXml" ds:itemID="{79B37214-9E52-4241-8DD2-9E9CD9442006}">
  <ds:schemaRefs>
    <ds:schemaRef ds:uri="http://www.wps.cn/android/officeDocument/2013/mofficeCustomData"/>
  </ds:schemaRefs>
</ds:datastoreItem>
</file>

<file path=customXml/itemProps17.xml><?xml version="1.0" encoding="utf-8"?>
<ds:datastoreItem xmlns:ds="http://schemas.openxmlformats.org/officeDocument/2006/customXml" ds:itemID="{A06CD169-7F5C-4082-81B2-6ECAA9AF6149}">
  <ds:schemaRefs>
    <ds:schemaRef ds:uri="http://www.wps.cn/android/officeDocument/2013/mofficeCustomData"/>
  </ds:schemaRefs>
</ds:datastoreItem>
</file>

<file path=customXml/itemProps18.xml><?xml version="1.0" encoding="utf-8"?>
<ds:datastoreItem xmlns:ds="http://schemas.openxmlformats.org/officeDocument/2006/customXml" ds:itemID="{CA6F78A9-9A97-4991-BE5E-33584CFA9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4245</Words>
  <Characters>24201</Characters>
  <Application>Microsoft Office Word</Application>
  <DocSecurity>8</DocSecurity>
  <Lines>201</Lines>
  <Paragraphs>56</Paragraphs>
  <ScaleCrop>false</ScaleCrop>
  <Company>Microsoft</Company>
  <LinksUpToDate>false</LinksUpToDate>
  <CharactersWithSpaces>28390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张淼雯</dc:creator>
  <cp:lastModifiedBy>丁毅</cp:lastModifiedBy>
  <cp:revision>36</cp:revision>
  <cp:lastPrinted>2022-01-18T08:37:00Z</cp:lastPrinted>
  <dcterms:created xsi:type="dcterms:W3CDTF">2023-11-22T02:12:00Z</dcterms:created>
  <dcterms:modified xsi:type="dcterms:W3CDTF">2024-07-24T06:58:00Z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5466F5ED04264CD88390FDC4DDCA6BAE</vt:lpwstr>
  </property>
</Properties>
</file>