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w:t>
      </w:r>
      <w:permStart w:id="0" w:edGrp="everyone"/>
      <w:r>
        <w:rPr>
          <w:rFonts w:hint="eastAsia" w:ascii="黑体" w:hAnsi="黑体" w:eastAsia="黑体"/>
          <w:b/>
          <w:bCs/>
          <w:sz w:val="28"/>
          <w:szCs w:val="28"/>
        </w:rPr>
        <w:t>【稳添利</w:t>
      </w:r>
      <w:r>
        <w:rPr>
          <w:rStyle w:val="10"/>
          <w:rFonts w:hint="eastAsia" w:ascii="黑体" w:hAnsi="黑体" w:eastAsia="黑体"/>
          <w:sz w:val="28"/>
          <w:szCs w:val="28"/>
        </w:rPr>
        <w:t>日盈</w:t>
      </w:r>
      <w:r>
        <w:rPr>
          <w:rFonts w:hint="eastAsia" w:ascii="黑体" w:hAnsi="黑体" w:eastAsia="黑体"/>
          <w:b/>
          <w:bCs/>
          <w:sz w:val="28"/>
          <w:szCs w:val="28"/>
        </w:rPr>
        <w:t>日开固收类】</w:t>
      </w:r>
      <w:permEnd w:id="0"/>
      <w:r>
        <w:rPr>
          <w:rFonts w:hint="eastAsia"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permStart w:id="1" w:edGrp="everyone"/>
      <w:r>
        <w:rPr>
          <w:rFonts w:hint="eastAsia" w:ascii="宋体" w:hAnsi="宋体" w:cs="仿宋_GB2312"/>
          <w:kern w:val="0"/>
          <w:sz w:val="18"/>
          <w:szCs w:val="18"/>
        </w:rPr>
        <w:t>【兴银理财稳添利日盈增利41号日开固收类理财产品】</w:t>
      </w:r>
      <w:permEnd w:id="1"/>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ermStart w:id="2" w:edGrp="everyone"/>
      <w:r>
        <w:rPr>
          <w:rFonts w:hint="eastAsia" w:asciiTheme="majorEastAsia" w:hAnsiTheme="majorEastAsia" w:eastAsiaTheme="majorEastAsia"/>
          <w:bCs/>
          <w:kern w:val="0"/>
          <w:sz w:val="18"/>
          <w:szCs w:val="18"/>
        </w:rPr>
        <w:t>【稳添利日盈增利稳享41号A（兴普惠）】（适用【A】类份额</w:t>
      </w:r>
      <w:r>
        <w:rPr>
          <w:rFonts w:hint="eastAsia" w:ascii="宋体" w:hAnsi="宋体" w:cs="仿宋_GB2312"/>
          <w:kern w:val="0"/>
          <w:sz w:val="18"/>
          <w:szCs w:val="18"/>
        </w:rPr>
        <w:t>）</w:t>
      </w:r>
      <w:permEnd w:id="2"/>
    </w:p>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permStart w:id="3" w:edGrp="everyone"/>
      <w:r>
        <w:rPr>
          <w:rFonts w:hint="eastAsia" w:ascii="宋体" w:hAnsi="宋体" w:cs="仿宋_GB2312"/>
          <w:kern w:val="0"/>
          <w:sz w:val="18"/>
          <w:szCs w:val="18"/>
        </w:rPr>
        <w:t>【</w:t>
      </w:r>
      <w:r>
        <w:rPr>
          <w:rFonts w:ascii="宋体" w:hAnsi="宋体" w:cs="仿宋_GB2312"/>
          <w:kern w:val="0"/>
          <w:sz w:val="18"/>
          <w:szCs w:val="18"/>
        </w:rPr>
        <w:t>Z7002024000948</w:t>
      </w:r>
      <w:r>
        <w:rPr>
          <w:rFonts w:hint="eastAsia" w:ascii="宋体" w:hAnsi="宋体" w:cs="仿宋_GB2312"/>
          <w:kern w:val="0"/>
          <w:sz w:val="18"/>
          <w:szCs w:val="18"/>
        </w:rPr>
        <w:t xml:space="preserve">】 </w:t>
      </w:r>
      <w:permEnd w:id="3"/>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538" w:firstLineChars="299"/>
        <w:rPr>
          <w:rFonts w:ascii="宋体" w:hAnsi="宋体" w:cs="仿宋_GB2312"/>
          <w:kern w:val="0"/>
          <w:sz w:val="18"/>
          <w:szCs w:val="18"/>
        </w:rPr>
      </w:pPr>
      <w:permStart w:id="4" w:edGrp="everyone"/>
      <w:r>
        <w:rPr>
          <w:rFonts w:hint="eastAsia" w:ascii="宋体" w:hAnsi="宋体" w:cs="仿宋_GB2312"/>
          <w:kern w:val="0"/>
          <w:sz w:val="18"/>
          <w:szCs w:val="18"/>
        </w:rPr>
        <w:t>【公募、开放式、固定收益类、非保本浮动</w:t>
      </w:r>
      <w:r>
        <w:rPr>
          <w:rFonts w:ascii="宋体" w:hAnsi="宋体" w:cs="仿宋_GB2312"/>
          <w:kern w:val="0"/>
          <w:sz w:val="18"/>
          <w:szCs w:val="18"/>
        </w:rPr>
        <w:t>收益</w:t>
      </w:r>
      <w:r>
        <w:rPr>
          <w:rFonts w:hint="eastAsia" w:ascii="宋体" w:hAnsi="宋体" w:cs="仿宋_GB2312"/>
          <w:kern w:val="0"/>
          <w:sz w:val="18"/>
          <w:szCs w:val="18"/>
        </w:rPr>
        <w:t>、净值型】</w:t>
      </w:r>
      <w:permEnd w:id="4"/>
      <w:r>
        <w:rPr>
          <w:rFonts w:hint="eastAsia" w:ascii="宋体" w:hAnsi="宋体" w:cs="仿宋_GB2312"/>
          <w:kern w:val="0"/>
          <w:sz w:val="18"/>
          <w:szCs w:val="18"/>
        </w:rPr>
        <w:t>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permStart w:id="5" w:edGrp="everyone"/>
      <w:r>
        <w:rPr>
          <w:rFonts w:hint="eastAsia" w:ascii="宋体" w:hAnsi="宋体" w:cs="仿宋_GB2312"/>
          <w:kern w:val="0"/>
          <w:sz w:val="18"/>
          <w:szCs w:val="18"/>
        </w:rPr>
        <w:t>【无固定</w:t>
      </w:r>
      <w:r>
        <w:rPr>
          <w:rFonts w:ascii="宋体" w:hAnsi="宋体" w:cs="仿宋_GB2312"/>
          <w:kern w:val="0"/>
          <w:sz w:val="18"/>
          <w:szCs w:val="18"/>
        </w:rPr>
        <w:t>期限</w:t>
      </w:r>
      <w:r>
        <w:rPr>
          <w:rFonts w:hint="eastAsia" w:ascii="宋体" w:hAnsi="宋体" w:cs="仿宋_GB2312"/>
          <w:kern w:val="0"/>
          <w:sz w:val="18"/>
          <w:szCs w:val="18"/>
        </w:rPr>
        <w:t>】</w:t>
      </w:r>
      <w:permEnd w:id="5"/>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permStart w:id="6" w:edGrp="everyone"/>
      <w:r>
        <w:rPr>
          <w:rFonts w:hint="eastAsia" w:ascii="宋体" w:hAnsi="宋体" w:cs="仿宋_GB2312"/>
          <w:kern w:val="0"/>
          <w:sz w:val="18"/>
          <w:szCs w:val="18"/>
        </w:rPr>
        <w:t>【R1</w:t>
      </w:r>
      <w:r>
        <w:rPr>
          <w:rFonts w:ascii="宋体" w:hAnsi="宋体" w:cs="仿宋_GB2312"/>
          <w:kern w:val="0"/>
          <w:sz w:val="18"/>
          <w:szCs w:val="18"/>
        </w:rPr>
        <w:t>】</w:t>
      </w:r>
      <w:permEnd w:id="6"/>
      <w:r>
        <w:rPr>
          <w:rFonts w:hint="eastAsia" w:ascii="宋体" w:hAnsi="宋体" w:cs="仿宋_GB2312"/>
          <w:kern w:val="0"/>
          <w:sz w:val="18"/>
          <w:szCs w:val="18"/>
        </w:rPr>
        <w:t>（产品管理人定义的产品风险评级为</w:t>
      </w:r>
      <w:permStart w:id="7" w:edGrp="everyone"/>
      <w:r>
        <w:rPr>
          <w:rFonts w:hint="eastAsia" w:ascii="宋体" w:hAnsi="宋体" w:cs="仿宋_GB2312"/>
          <w:kern w:val="0"/>
          <w:sz w:val="18"/>
          <w:szCs w:val="18"/>
        </w:rPr>
        <w:t>【R1</w:t>
      </w:r>
      <w:r>
        <w:rPr>
          <w:rFonts w:ascii="宋体" w:hAnsi="宋体" w:cs="仿宋_GB2312"/>
          <w:kern w:val="0"/>
          <w:sz w:val="18"/>
          <w:szCs w:val="18"/>
        </w:rPr>
        <w:t>】</w:t>
      </w:r>
      <w:permEnd w:id="7"/>
      <w:r>
        <w:rPr>
          <w:rFonts w:hint="eastAsia" w:ascii="宋体" w:hAnsi="宋体" w:cs="仿宋_GB2312"/>
          <w:kern w:val="0"/>
          <w:sz w:val="18"/>
          <w:szCs w:val="18"/>
        </w:rPr>
        <w:t>；代理销售机构定义的产品风险评级为</w:t>
      </w:r>
      <w:permStart w:id="8" w:edGrp="everyone"/>
      <w:r>
        <w:rPr>
          <w:rFonts w:hint="eastAsia" w:ascii="宋体" w:hAnsi="宋体" w:cs="仿宋_GB2312"/>
          <w:kern w:val="0"/>
          <w:sz w:val="18"/>
          <w:szCs w:val="18"/>
        </w:rPr>
        <w:t>【R1】</w:t>
      </w:r>
      <w:permEnd w:id="8"/>
      <w:r>
        <w:rPr>
          <w:rFonts w:hint="eastAsia" w:ascii="宋体" w:hAnsi="宋体" w:cs="仿宋_GB2312"/>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permStart w:id="9" w:edGrp="everyone"/>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sz w:val="18"/>
          <w:szCs w:val="18"/>
        </w:rPr>
        <w:t>■</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C6</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■机构投资者：■一般</w:t>
      </w:r>
      <w:r>
        <w:rPr>
          <w:rFonts w:asciiTheme="majorEastAsia" w:hAnsiTheme="majorEastAsia" w:eastAsiaTheme="majorEastAsia"/>
          <w:bCs/>
          <w:color w:val="000000" w:themeColor="text1"/>
          <w:sz w:val="18"/>
          <w:szCs w:val="18"/>
          <w14:textFill>
            <w14:solidFill>
              <w14:schemeClr w14:val="tx1"/>
            </w14:solidFill>
          </w14:textFill>
        </w:rPr>
        <w:t>机构</w:t>
      </w:r>
      <w:r>
        <w:rPr>
          <w:rFonts w:hint="eastAsia" w:asciiTheme="majorEastAsia" w:hAnsiTheme="majorEastAsia" w:eastAsiaTheme="majorEastAsia"/>
          <w:bCs/>
          <w:color w:val="000000" w:themeColor="text1"/>
          <w:sz w:val="18"/>
          <w:szCs w:val="18"/>
          <w14:textFill>
            <w14:solidFill>
              <w14:schemeClr w14:val="tx1"/>
            </w14:solidFill>
          </w14:textFill>
        </w:rPr>
        <w:t>客户【■</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14:textFill>
            <w14:solidFill>
              <w14:schemeClr w14:val="tx1"/>
            </w14:solidFill>
          </w14:textFill>
        </w:rPr>
        <w:t>，□金融同业客户。</w:t>
      </w:r>
    </w:p>
    <w:permEnd w:id="9"/>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pStyle w:val="14"/>
        <w:ind w:firstLine="426" w:firstLineChars="0"/>
        <w:rPr>
          <w:rFonts w:ascii="宋体" w:hAnsi="宋体"/>
          <w:sz w:val="18"/>
          <w:szCs w:val="18"/>
        </w:rPr>
      </w:pPr>
      <w:permStart w:id="10" w:edGrp="everyone"/>
      <w:r>
        <w:rPr>
          <w:rFonts w:hint="eastAsia" w:ascii="宋体" w:hAnsi="宋体"/>
          <w:sz w:val="18"/>
          <w:szCs w:val="18"/>
        </w:rPr>
        <w:t>1.拟投资市场和资产的风险：</w:t>
      </w:r>
    </w:p>
    <w:p>
      <w:pPr>
        <w:pStyle w:val="14"/>
        <w:ind w:firstLine="426" w:firstLineChars="0"/>
        <w:rPr>
          <w:rFonts w:ascii="宋体" w:hAnsi="宋体"/>
          <w:sz w:val="18"/>
          <w:szCs w:val="18"/>
        </w:rPr>
      </w:pPr>
      <w:r>
        <w:rPr>
          <w:rFonts w:hint="eastAsia" w:ascii="宋体" w:hAnsi="宋体"/>
          <w:sz w:val="18"/>
          <w:szCs w:val="18"/>
        </w:rPr>
        <w:t>（1）投资债权类资产的风险</w:t>
      </w:r>
    </w:p>
    <w:p>
      <w:pPr>
        <w:pStyle w:val="14"/>
        <w:ind w:firstLine="426" w:firstLineChars="0"/>
        <w:rPr>
          <w:rFonts w:ascii="宋体" w:hAnsi="宋体"/>
          <w:sz w:val="18"/>
          <w:szCs w:val="18"/>
        </w:rPr>
      </w:pPr>
      <w:r>
        <w:rPr>
          <w:rFonts w:hint="eastAsia" w:ascii="宋体" w:hAnsi="宋体"/>
          <w:sz w:val="18"/>
          <w:szCs w:val="18"/>
        </w:rPr>
        <w:t>1）投资标准化债权类资产的风险</w:t>
      </w:r>
    </w:p>
    <w:p>
      <w:pPr>
        <w:pStyle w:val="14"/>
        <w:ind w:firstLine="426" w:firstLineChars="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ermEnd w:id="10"/>
    <w:p>
      <w:pPr>
        <w:pStyle w:val="14"/>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pStyle w:val="14"/>
        <w:ind w:firstLine="426" w:firstLineChars="0"/>
        <w:rPr>
          <w:rFonts w:ascii="宋体" w:hAnsi="宋体"/>
          <w:b/>
          <w:bCs/>
          <w:sz w:val="18"/>
          <w:szCs w:val="18"/>
        </w:rPr>
      </w:pPr>
      <w:r>
        <w:rPr>
          <w:rFonts w:hint="eastAsia" w:ascii="宋体" w:hAnsi="宋体"/>
          <w:b/>
          <w:bCs/>
          <w:sz w:val="18"/>
          <w:szCs w:val="18"/>
        </w:rPr>
        <w:t xml:space="preserve">（二）投资者投资本产品可能面临的一般风险主要包括（但不限于）： </w:t>
      </w:r>
    </w:p>
    <w:p>
      <w:pPr>
        <w:pStyle w:val="14"/>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4"/>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4"/>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4"/>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4"/>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4"/>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4"/>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4"/>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4"/>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4"/>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4"/>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4"/>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4"/>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pPr>
        <w:pStyle w:val="14"/>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4"/>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4"/>
        <w:ind w:firstLineChars="0"/>
        <w:rPr>
          <w:rFonts w:ascii="宋体" w:hAnsi="宋体"/>
          <w:b/>
          <w:bCs/>
          <w:sz w:val="18"/>
          <w:szCs w:val="18"/>
        </w:rPr>
      </w:pPr>
      <w:r>
        <w:rPr>
          <w:rFonts w:hint="eastAsia" w:ascii="宋体" w:hAnsi="宋体"/>
          <w:b/>
          <w:bCs/>
          <w:sz w:val="18"/>
          <w:szCs w:val="18"/>
        </w:rPr>
        <w:t>17.关联交易风险</w:t>
      </w:r>
    </w:p>
    <w:p>
      <w:pPr>
        <w:pStyle w:val="14"/>
        <w:ind w:firstLineChars="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宋体"/>
          <w:b/>
          <w:bCs/>
          <w:color w:val="000000"/>
          <w:kern w:val="0"/>
          <w:sz w:val="18"/>
          <w:szCs w:val="18"/>
        </w:rPr>
        <w:t>五、【非机构投资者适用】</w:t>
      </w:r>
      <w:r>
        <w:rPr>
          <w:rFonts w:hint="eastAsia" w:ascii="宋体" w:hAnsi="宋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w:t>
      </w:r>
      <w:r>
        <w:rPr>
          <w:rFonts w:hint="eastAsia" w:ascii="黑体" w:hAnsi="黑体" w:eastAsia="黑体" w:cs="仿宋_GB2312"/>
          <w:kern w:val="0"/>
          <w:sz w:val="18"/>
          <w:szCs w:val="18"/>
        </w:rPr>
        <w:t>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ordWrap w:val="0"/>
        <w:ind w:left="540"/>
        <w:jc w:val="right"/>
        <w:rPr>
          <w:rFonts w:ascii="宋体" w:hAnsi="宋体"/>
          <w:sz w:val="18"/>
          <w:szCs w:val="18"/>
        </w:rPr>
      </w:pPr>
      <w:permStart w:id="11" w:edGrp="everyone"/>
      <w:r>
        <w:rPr>
          <w:rFonts w:hint="eastAsia" w:ascii="宋体" w:hAnsi="宋体"/>
          <w:sz w:val="18"/>
          <w:szCs w:val="18"/>
        </w:rPr>
        <w:t>销售机构（【</w:t>
      </w:r>
      <w:r>
        <w:rPr>
          <w:rFonts w:hint="eastAsia" w:ascii="宋体" w:hAnsi="宋体"/>
          <w:sz w:val="18"/>
          <w:szCs w:val="18"/>
          <w:lang w:val="en-US" w:eastAsia="zh-CN"/>
        </w:rPr>
        <w:t xml:space="preserve">     </w:t>
      </w:r>
      <w:bookmarkStart w:id="0" w:name="_GoBack"/>
      <w:bookmarkEnd w:id="0"/>
      <w:r>
        <w:rPr>
          <w:rFonts w:hint="eastAsia" w:ascii="宋体" w:hAnsi="宋体"/>
          <w:sz w:val="18"/>
          <w:szCs w:val="18"/>
        </w:rPr>
        <w:t>）</w:t>
      </w:r>
    </w:p>
    <w:permEnd w:id="11"/>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8371"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投资者签字：</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tabs>
          <w:tab w:val="left" w:pos="2100"/>
        </w:tabs>
        <w:rPr>
          <w:rFonts w:ascii="宋体" w:hAnsi="宋体" w:cs="Arial"/>
          <w:sz w:val="24"/>
        </w:rPr>
      </w:pPr>
      <w:r>
        <w:rPr>
          <w:rFonts w:ascii="宋体" w:hAnsi="宋体" w:cs="Arial"/>
          <w:sz w:val="24"/>
        </w:rPr>
        <w:tab/>
      </w: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r>
              <w:rPr>
                <w:rFonts w:ascii="宋体" w:hAnsi="宋体" w:cs="Arial"/>
                <w:b/>
                <w:kern w:val="0"/>
                <w:sz w:val="20"/>
                <w:szCs w:val="21"/>
              </w:rPr>
              <w:t>一般机构客户</w:t>
            </w:r>
            <w:r>
              <w:rPr>
                <w:rFonts w:hint="eastAsia" w:ascii="宋体" w:hAnsi="宋体" w:cs="Arial"/>
                <w:b/>
                <w:kern w:val="0"/>
                <w:sz w:val="20"/>
                <w:szCs w:val="21"/>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（签字或盖章）：</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r>
        <w:rPr>
          <w:rFonts w:ascii="宋体" w:hAnsi="宋体"/>
          <w:b/>
          <w:sz w:val="28"/>
          <w:szCs w:val="28"/>
        </w:rPr>
        <w:br w:type="page"/>
      </w:r>
    </w:p>
    <w:tbl>
      <w:tblPr>
        <w:tblStyle w:val="8"/>
        <w:tblW w:w="8388"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38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73" w:hRule="atLeast"/>
        </w:trPr>
        <w:tc>
          <w:tcPr>
            <w:tcW w:w="8388"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（适用于机构投资者：金融同业</w:t>
            </w:r>
            <w:r>
              <w:rPr>
                <w:rFonts w:ascii="宋体" w:hAnsi="宋体" w:cs="Arial"/>
                <w:b/>
                <w:kern w:val="0"/>
                <w:sz w:val="20"/>
                <w:szCs w:val="21"/>
              </w:rPr>
              <w:t>客户</w:t>
            </w:r>
            <w:r>
              <w:rPr>
                <w:rFonts w:hint="eastAsia" w:ascii="宋体" w:hAnsi="宋体" w:cs="Arial"/>
                <w:b/>
                <w:kern w:val="0"/>
                <w:sz w:val="20"/>
                <w:szCs w:val="21"/>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16" w:hRule="atLeast"/>
        </w:trPr>
        <w:tc>
          <w:tcPr>
            <w:tcW w:w="8388"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（签字或盖章）：</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4"/>
                          </w:pPr>
                          <w:r>
                            <w:fldChar w:fldCharType="begin"/>
                          </w:r>
                          <w:r>
                            <w:instrText xml:space="preserve"> PAGE  \* MERGEFORMAT </w:instrText>
                          </w:r>
                          <w:r>
                            <w:fldChar w:fldCharType="separate"/>
                          </w:r>
                          <w:r>
                            <w:t>6</w:t>
                          </w:r>
                          <w: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tbuXfQAAAAAgEAAA8AAAAAAAAAAQAgAAAAIgAAAGRycy9kb3ducmV2LnhtbFBLAQIU&#10;ABQAAAAIAIdO4kBzKKfD+wEAAAMEAAAOAAAAAAAAAAEAIAAAAB8BAABkcnMvZTJvRG9jLnhtbFBL&#10;BQYAAAAABgAGAFkBAACM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5"/>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dit="readOnly" w:enforcement="1" w:cryptProviderType="rsaAES" w:cryptAlgorithmClass="hash" w:cryptAlgorithmType="typeAny" w:cryptAlgorithmSid="14" w:cryptSpinCount="100000" w:hash="mWuMVgWgmol+BQq8xH6Z9QvVBKqpBNw0GFIMlD698s1VKIleOUYI0mm+JojzA2077FUAnFur3pv2BljJiyMo1g==" w:salt="8iV6SJKyPoj+/MZH+bloSA=="/>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563E8F"/>
    <w:rsid w:val="00000A38"/>
    <w:rsid w:val="000124A4"/>
    <w:rsid w:val="00096AC8"/>
    <w:rsid w:val="000A244A"/>
    <w:rsid w:val="000B16F1"/>
    <w:rsid w:val="000B357F"/>
    <w:rsid w:val="000D6CB6"/>
    <w:rsid w:val="000F0566"/>
    <w:rsid w:val="001104E8"/>
    <w:rsid w:val="00152999"/>
    <w:rsid w:val="00171403"/>
    <w:rsid w:val="001C5047"/>
    <w:rsid w:val="002354DB"/>
    <w:rsid w:val="00262560"/>
    <w:rsid w:val="00272FDA"/>
    <w:rsid w:val="002A576F"/>
    <w:rsid w:val="002B4654"/>
    <w:rsid w:val="002B4BDD"/>
    <w:rsid w:val="002B63FC"/>
    <w:rsid w:val="002C604E"/>
    <w:rsid w:val="002F0B15"/>
    <w:rsid w:val="00346ED2"/>
    <w:rsid w:val="00363E61"/>
    <w:rsid w:val="003660B4"/>
    <w:rsid w:val="00374070"/>
    <w:rsid w:val="003E1A68"/>
    <w:rsid w:val="003E64E1"/>
    <w:rsid w:val="003F1C32"/>
    <w:rsid w:val="00412C30"/>
    <w:rsid w:val="00420D74"/>
    <w:rsid w:val="00441E66"/>
    <w:rsid w:val="0045040F"/>
    <w:rsid w:val="00466605"/>
    <w:rsid w:val="004A236B"/>
    <w:rsid w:val="004B4026"/>
    <w:rsid w:val="004C7F5E"/>
    <w:rsid w:val="004E4E14"/>
    <w:rsid w:val="00510BA5"/>
    <w:rsid w:val="00527A03"/>
    <w:rsid w:val="00563E8F"/>
    <w:rsid w:val="005804B9"/>
    <w:rsid w:val="005C6FCB"/>
    <w:rsid w:val="005F48BE"/>
    <w:rsid w:val="00607114"/>
    <w:rsid w:val="00631493"/>
    <w:rsid w:val="00631E99"/>
    <w:rsid w:val="00640FDE"/>
    <w:rsid w:val="006538E1"/>
    <w:rsid w:val="00667C5A"/>
    <w:rsid w:val="006B4210"/>
    <w:rsid w:val="007143CD"/>
    <w:rsid w:val="0072580D"/>
    <w:rsid w:val="007303F6"/>
    <w:rsid w:val="00732C8C"/>
    <w:rsid w:val="007A4C26"/>
    <w:rsid w:val="007B017F"/>
    <w:rsid w:val="007C7189"/>
    <w:rsid w:val="0080662E"/>
    <w:rsid w:val="00836C1F"/>
    <w:rsid w:val="008513F1"/>
    <w:rsid w:val="0086419F"/>
    <w:rsid w:val="00894EE6"/>
    <w:rsid w:val="00895CFA"/>
    <w:rsid w:val="008A6DEA"/>
    <w:rsid w:val="008A707D"/>
    <w:rsid w:val="008B24CA"/>
    <w:rsid w:val="008C1CE9"/>
    <w:rsid w:val="008D3E86"/>
    <w:rsid w:val="008F2B54"/>
    <w:rsid w:val="00922EB3"/>
    <w:rsid w:val="00923A09"/>
    <w:rsid w:val="00931980"/>
    <w:rsid w:val="009525B5"/>
    <w:rsid w:val="00955293"/>
    <w:rsid w:val="009713C7"/>
    <w:rsid w:val="00980894"/>
    <w:rsid w:val="00981E5B"/>
    <w:rsid w:val="009B13AF"/>
    <w:rsid w:val="009E2127"/>
    <w:rsid w:val="00A36B7F"/>
    <w:rsid w:val="00A45E66"/>
    <w:rsid w:val="00A46532"/>
    <w:rsid w:val="00A81496"/>
    <w:rsid w:val="00A95D0C"/>
    <w:rsid w:val="00AE5AA3"/>
    <w:rsid w:val="00B06267"/>
    <w:rsid w:val="00B07DEF"/>
    <w:rsid w:val="00B35D81"/>
    <w:rsid w:val="00B3723D"/>
    <w:rsid w:val="00B51172"/>
    <w:rsid w:val="00B72C70"/>
    <w:rsid w:val="00B82A87"/>
    <w:rsid w:val="00B94B21"/>
    <w:rsid w:val="00BA3CE3"/>
    <w:rsid w:val="00BB3A90"/>
    <w:rsid w:val="00BB513F"/>
    <w:rsid w:val="00BC1259"/>
    <w:rsid w:val="00BC2076"/>
    <w:rsid w:val="00BC398E"/>
    <w:rsid w:val="00BD36A3"/>
    <w:rsid w:val="00BD7239"/>
    <w:rsid w:val="00BE1A3A"/>
    <w:rsid w:val="00C01696"/>
    <w:rsid w:val="00C4233D"/>
    <w:rsid w:val="00D03CCD"/>
    <w:rsid w:val="00D31FC0"/>
    <w:rsid w:val="00D33509"/>
    <w:rsid w:val="00D354C5"/>
    <w:rsid w:val="00D36659"/>
    <w:rsid w:val="00D46533"/>
    <w:rsid w:val="00D672A2"/>
    <w:rsid w:val="00D77421"/>
    <w:rsid w:val="00D91389"/>
    <w:rsid w:val="00DA2C69"/>
    <w:rsid w:val="00DB3E2D"/>
    <w:rsid w:val="00DD246D"/>
    <w:rsid w:val="00DD5ABC"/>
    <w:rsid w:val="00DE3630"/>
    <w:rsid w:val="00E04894"/>
    <w:rsid w:val="00E27A39"/>
    <w:rsid w:val="00E4081D"/>
    <w:rsid w:val="00E504DE"/>
    <w:rsid w:val="00E66F5C"/>
    <w:rsid w:val="00E767F1"/>
    <w:rsid w:val="00E80603"/>
    <w:rsid w:val="00EB34F9"/>
    <w:rsid w:val="00EC7440"/>
    <w:rsid w:val="00EF5F91"/>
    <w:rsid w:val="00EF7BC3"/>
    <w:rsid w:val="00F1747E"/>
    <w:rsid w:val="00F34E57"/>
    <w:rsid w:val="00F54E02"/>
    <w:rsid w:val="00F57B20"/>
    <w:rsid w:val="00F8077D"/>
    <w:rsid w:val="00FD7473"/>
    <w:rsid w:val="09B56D79"/>
    <w:rsid w:val="0E20418F"/>
    <w:rsid w:val="162E3D0C"/>
    <w:rsid w:val="171B4C2E"/>
    <w:rsid w:val="19F75C96"/>
    <w:rsid w:val="1D9858FD"/>
    <w:rsid w:val="23024B39"/>
    <w:rsid w:val="253A0B2D"/>
    <w:rsid w:val="28E122E7"/>
    <w:rsid w:val="29D64339"/>
    <w:rsid w:val="2B3712C9"/>
    <w:rsid w:val="3028719B"/>
    <w:rsid w:val="34BE3B5C"/>
    <w:rsid w:val="41D216E5"/>
    <w:rsid w:val="49466DD4"/>
    <w:rsid w:val="4CFA15FA"/>
    <w:rsid w:val="601969DF"/>
    <w:rsid w:val="63B353E0"/>
    <w:rsid w:val="67B85200"/>
    <w:rsid w:val="6E3A25F0"/>
    <w:rsid w:val="70330189"/>
    <w:rsid w:val="7A7571B4"/>
    <w:rsid w:val="7C166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6"/>
    <w:semiHidden/>
    <w:unhideWhenUsed/>
    <w:qFormat/>
    <w:uiPriority w:val="99"/>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annotation reference"/>
    <w:basedOn w:val="9"/>
    <w:unhideWhenUsed/>
    <w:qFormat/>
    <w:uiPriority w:val="99"/>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paragraph" w:styleId="14">
    <w:name w:val="List Paragraph"/>
    <w:basedOn w:val="1"/>
    <w:qFormat/>
    <w:uiPriority w:val="0"/>
    <w:pPr>
      <w:ind w:firstLine="420" w:firstLineChars="200"/>
    </w:pPr>
  </w:style>
  <w:style w:type="character" w:customStyle="1" w:styleId="15">
    <w:name w:val="批注文字 Char"/>
    <w:basedOn w:val="9"/>
    <w:link w:val="2"/>
    <w:qFormat/>
    <w:uiPriority w:val="99"/>
    <w:rPr>
      <w:rFonts w:ascii="Calibri" w:hAnsi="Calibri" w:eastAsia="宋体" w:cs="宋体"/>
    </w:rPr>
  </w:style>
  <w:style w:type="character" w:customStyle="1" w:styleId="16">
    <w:name w:val="批注主题 Char"/>
    <w:basedOn w:val="15"/>
    <w:link w:val="6"/>
    <w:semiHidden/>
    <w:qFormat/>
    <w:uiPriority w:val="99"/>
    <w:rPr>
      <w:rFonts w:ascii="Calibri" w:hAnsi="Calibri" w:eastAsia="宋体" w:cs="宋体"/>
      <w:b/>
      <w:bCs/>
    </w:rPr>
  </w:style>
  <w:style w:type="character" w:customStyle="1" w:styleId="17">
    <w:name w:val="批注框文本 Char"/>
    <w:basedOn w:val="9"/>
    <w:link w:val="3"/>
    <w:semiHidden/>
    <w:qFormat/>
    <w:uiPriority w:val="99"/>
    <w:rPr>
      <w:rFonts w:ascii="Calibri" w:hAnsi="Calibri" w:eastAsia="宋体" w:cs="宋体"/>
      <w:sz w:val="18"/>
      <w:szCs w:val="18"/>
    </w:rPr>
  </w:style>
  <w:style w:type="paragraph" w:customStyle="1" w:styleId="18">
    <w:name w:val="修订1"/>
    <w:hidden/>
    <w:semiHidden/>
    <w:qFormat/>
    <w:uiPriority w:val="99"/>
    <w:rPr>
      <w:rFonts w:ascii="Calibri" w:hAnsi="Calibri" w:eastAsia="宋体" w:cs="宋体"/>
      <w:kern w:val="2"/>
      <w:sz w:val="21"/>
      <w:szCs w:val="22"/>
      <w:lang w:val="en-US" w:eastAsia="zh-CN" w:bidi="ar-SA"/>
    </w:rPr>
  </w:style>
  <w:style w:type="paragraph" w:customStyle="1" w:styleId="19">
    <w:name w:val="修订2"/>
    <w:hidden/>
    <w:semiHidden/>
    <w:qFormat/>
    <w:uiPriority w:val="99"/>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7</Pages>
  <Words>778</Words>
  <Characters>4439</Characters>
  <Lines>36</Lines>
  <Paragraphs>10</Paragraphs>
  <TotalTime>27</TotalTime>
  <ScaleCrop>false</ScaleCrop>
  <LinksUpToDate>false</LinksUpToDate>
  <CharactersWithSpaces>5207</CharactersWithSpaces>
  <Application>WPS Office_11.8.2.10164_F1E327BC-269C-435d-A152-05C5408002CA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2023-11-22T02:12:00Z</dcterms:created>
  <dc:creator>胡骁潇</dc:creator>
  <cp:lastModifiedBy>Administrator</cp:lastModifiedBy>
  <dcterms:modified xsi:type="dcterms:W3CDTF">2024-07-31T07:38:27Z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8C3451F4A9D547188BD69B541900499D</vt:lpwstr>
  </property>
</Properties>
</file>